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DEDC" w14:textId="5A1C445D" w:rsidR="003E6880" w:rsidRPr="003E6880" w:rsidRDefault="00444259" w:rsidP="003E6880">
      <w:pPr>
        <w:jc w:val="center"/>
        <w:rPr>
          <w:sz w:val="32"/>
          <w:szCs w:val="32"/>
        </w:rPr>
      </w:pPr>
      <w:r w:rsidRPr="00444259">
        <w:rPr>
          <w:b/>
          <w:bCs/>
          <w:sz w:val="32"/>
          <w:szCs w:val="32"/>
        </w:rPr>
        <w:t xml:space="preserve">Compute or </w:t>
      </w:r>
      <w:proofErr w:type="gramStart"/>
      <w:r w:rsidRPr="00444259">
        <w:rPr>
          <w:b/>
          <w:bCs/>
          <w:sz w:val="32"/>
          <w:szCs w:val="32"/>
        </w:rPr>
        <w:t>Subscribe</w:t>
      </w:r>
      <w:proofErr w:type="gramEnd"/>
      <w:r w:rsidRPr="00444259">
        <w:rPr>
          <w:b/>
          <w:bCs/>
          <w:sz w:val="32"/>
          <w:szCs w:val="32"/>
        </w:rPr>
        <w:t>?</w:t>
      </w:r>
    </w:p>
    <w:p w14:paraId="191BB5D2" w14:textId="489F6ED9" w:rsidR="003E6880" w:rsidRDefault="003E6880" w:rsidP="003E6880">
      <w:pPr>
        <w:jc w:val="center"/>
      </w:pPr>
      <w:r>
        <w:t xml:space="preserve">BUS AN 500 | Class </w:t>
      </w:r>
      <w:r w:rsidR="00444259">
        <w:t>6</w:t>
      </w:r>
      <w:r>
        <w:t xml:space="preserve"> | Submission Template</w:t>
      </w:r>
    </w:p>
    <w:p w14:paraId="7712D1BA" w14:textId="77777777" w:rsidR="003E6880" w:rsidRDefault="003E6880"/>
    <w:p w14:paraId="5B89B5BE" w14:textId="7AB687BD" w:rsidR="003E6880" w:rsidRPr="00444259" w:rsidRDefault="00444259">
      <w:pPr>
        <w:rPr>
          <w:b/>
          <w:bCs/>
          <w:i/>
          <w:iCs/>
        </w:rPr>
      </w:pPr>
      <w:r w:rsidRPr="00444259">
        <w:rPr>
          <w:b/>
          <w:bCs/>
          <w:i/>
          <w:iCs/>
        </w:rPr>
        <w:t>Case Overview</w:t>
      </w:r>
    </w:p>
    <w:p w14:paraId="2D76800B" w14:textId="2FA56DBB" w:rsidR="00444259" w:rsidRPr="00444259" w:rsidRDefault="00252E4F" w:rsidP="00444259">
      <w:proofErr w:type="spellStart"/>
      <w:r>
        <w:t>HuskyVision</w:t>
      </w:r>
      <w:proofErr w:type="spellEnd"/>
      <w:r w:rsidR="00444259" w:rsidRPr="00444259">
        <w:t xml:space="preserve"> Analytics is a rapidly growing analytics startup that develops reporting, workflow automation, and data visualization solutions for mid-sized retail and logistics companies. Over the last year, the company has increasingly integrated </w:t>
      </w:r>
      <w:r w:rsidR="00444259">
        <w:t xml:space="preserve">robotics process automation and </w:t>
      </w:r>
      <w:r w:rsidR="00444259" w:rsidRPr="00444259">
        <w:t>artificial intelligence into its operations, including:</w:t>
      </w:r>
    </w:p>
    <w:p w14:paraId="361AFC04" w14:textId="77777777" w:rsidR="00444259" w:rsidRPr="00444259" w:rsidRDefault="00444259" w:rsidP="00444259">
      <w:pPr>
        <w:numPr>
          <w:ilvl w:val="0"/>
          <w:numId w:val="2"/>
        </w:numPr>
      </w:pPr>
      <w:r w:rsidRPr="00444259">
        <w:t xml:space="preserve">report generation, </w:t>
      </w:r>
    </w:p>
    <w:p w14:paraId="4442ED02" w14:textId="77777777" w:rsidR="00444259" w:rsidRPr="00444259" w:rsidRDefault="00444259" w:rsidP="00444259">
      <w:pPr>
        <w:numPr>
          <w:ilvl w:val="0"/>
          <w:numId w:val="2"/>
        </w:numPr>
      </w:pPr>
      <w:r w:rsidRPr="00444259">
        <w:t xml:space="preserve">document summarization, </w:t>
      </w:r>
    </w:p>
    <w:p w14:paraId="568B5179" w14:textId="77777777" w:rsidR="00444259" w:rsidRPr="00444259" w:rsidRDefault="00444259" w:rsidP="00444259">
      <w:pPr>
        <w:numPr>
          <w:ilvl w:val="0"/>
          <w:numId w:val="2"/>
        </w:numPr>
      </w:pPr>
      <w:r w:rsidRPr="00444259">
        <w:t xml:space="preserve">customer analytics, </w:t>
      </w:r>
    </w:p>
    <w:p w14:paraId="39C17070" w14:textId="77777777" w:rsidR="00444259" w:rsidRPr="00444259" w:rsidRDefault="00444259" w:rsidP="00444259">
      <w:pPr>
        <w:numPr>
          <w:ilvl w:val="0"/>
          <w:numId w:val="2"/>
        </w:numPr>
      </w:pPr>
      <w:r w:rsidRPr="00444259">
        <w:t xml:space="preserve">and workflow automation. </w:t>
      </w:r>
    </w:p>
    <w:p w14:paraId="4D035E97" w14:textId="505AAA6F" w:rsidR="00444259" w:rsidRPr="00444259" w:rsidRDefault="00444259" w:rsidP="00444259">
      <w:r w:rsidRPr="00444259">
        <w:t xml:space="preserve">Currently, </w:t>
      </w:r>
      <w:proofErr w:type="spellStart"/>
      <w:r w:rsidR="00252E4F">
        <w:t>HuskyVision</w:t>
      </w:r>
      <w:proofErr w:type="spellEnd"/>
      <w:r w:rsidRPr="00444259">
        <w:t xml:space="preserve"> relies primarily on external AI software subscriptions and cloud-based AI services. These services allow the company to scale quickly with relatively low upfront investment. However, management has become concerned about the long-term costs associated with recurring subscription fees and increasing AI usage.</w:t>
      </w:r>
    </w:p>
    <w:p w14:paraId="1550A1E5" w14:textId="4AE5F9BA" w:rsidR="00444259" w:rsidRDefault="00444259" w:rsidP="00444259">
      <w:r w:rsidRPr="00444259">
        <w:t xml:space="preserve">As AI adoption continues to expand across the company, </w:t>
      </w:r>
      <w:proofErr w:type="spellStart"/>
      <w:r w:rsidR="00252E4F">
        <w:t>HuskyVision</w:t>
      </w:r>
      <w:r w:rsidRPr="00444259">
        <w:t>’s</w:t>
      </w:r>
      <w:proofErr w:type="spellEnd"/>
      <w:r w:rsidRPr="00444259">
        <w:t xml:space="preserve"> leadership team is evaluating whether it may be more cost-effective to invest in an internal AI server infrastructure rather than continuing to rely entirely on subscription-based software and cloud AI tools.</w:t>
      </w:r>
    </w:p>
    <w:p w14:paraId="12ACF18A" w14:textId="5563FFE0" w:rsidR="00444259" w:rsidRPr="00444259" w:rsidRDefault="00444259" w:rsidP="00444259">
      <w:r>
        <w:t xml:space="preserve">This is a traditional build versus buy investment decision, focused on an emerging problem. </w:t>
      </w:r>
      <w:r w:rsidR="00470408" w:rsidRPr="00470408">
        <w:t>Should the company invest in local compute infrastructure or continue relying on third-party AI subscriptions and APIs?</w:t>
      </w:r>
      <w:r w:rsidR="00470408">
        <w:t xml:space="preserve"> </w:t>
      </w:r>
      <w:proofErr w:type="gramStart"/>
      <w:r>
        <w:t>Your</w:t>
      </w:r>
      <w:proofErr w:type="gramEnd"/>
      <w:r>
        <w:t xml:space="preserve"> task is to aid management in determining how the uncertainties inherent in this decision (overinvestment in </w:t>
      </w:r>
      <w:proofErr w:type="gramStart"/>
      <w:r>
        <w:t>compute</w:t>
      </w:r>
      <w:proofErr w:type="gramEnd"/>
      <w:r>
        <w:t xml:space="preserve"> versus rising subscription costs) affect the net present value </w:t>
      </w:r>
      <w:r w:rsidR="0006037F">
        <w:t xml:space="preserve">(NPV) </w:t>
      </w:r>
      <w:r>
        <w:t>of the two investment decisions. Management ha</w:t>
      </w:r>
      <w:r w:rsidR="00470408">
        <w:t>s</w:t>
      </w:r>
      <w:r>
        <w:t xml:space="preserve"> provided you with an estimate of the cost of the compute (build) strategy versus the subscribe (buy) strategy based on their </w:t>
      </w:r>
      <w:r w:rsidR="0006037F">
        <w:t xml:space="preserve">assumptions about the current costs to set up </w:t>
      </w:r>
      <w:proofErr w:type="gramStart"/>
      <w:r w:rsidR="0006037F">
        <w:t>compute</w:t>
      </w:r>
      <w:proofErr w:type="gramEnd"/>
      <w:r w:rsidR="0006037F">
        <w:t xml:space="preserve"> capabilities and support subscriptions over the next 4 years. Due to the </w:t>
      </w:r>
      <w:proofErr w:type="gramStart"/>
      <w:r w:rsidR="0006037F">
        <w:t>fast changing</w:t>
      </w:r>
      <w:proofErr w:type="gramEnd"/>
      <w:r w:rsidR="0006037F">
        <w:t xml:space="preserve"> nature of this space, they are focused on a short-window strategy, rather than a longer-term strategy. </w:t>
      </w:r>
    </w:p>
    <w:p w14:paraId="750E11F6" w14:textId="77777777" w:rsidR="00AB05CE" w:rsidRDefault="00AB05CE" w:rsidP="00AB05CE">
      <w:pPr>
        <w:rPr>
          <w:i/>
          <w:iCs/>
        </w:rPr>
      </w:pPr>
      <w:r>
        <w:rPr>
          <w:i/>
          <w:iCs/>
        </w:rPr>
        <w:br w:type="page"/>
      </w:r>
    </w:p>
    <w:p w14:paraId="583A7F61" w14:textId="6111D286" w:rsidR="00FB3D94" w:rsidRPr="00FB3D94" w:rsidRDefault="00FB3D94" w:rsidP="00FB3D94">
      <w:pPr>
        <w:rPr>
          <w:b/>
          <w:bCs/>
          <w:i/>
          <w:iCs/>
        </w:rPr>
      </w:pPr>
      <w:r w:rsidRPr="00FB3D94">
        <w:rPr>
          <w:b/>
          <w:bCs/>
          <w:i/>
          <w:iCs/>
        </w:rPr>
        <w:lastRenderedPageBreak/>
        <w:t xml:space="preserve">The importance of operational scale </w:t>
      </w:r>
    </w:p>
    <w:p w14:paraId="26178235" w14:textId="77777777" w:rsidR="00470408" w:rsidRPr="00470408" w:rsidRDefault="00470408" w:rsidP="00470408">
      <w:r w:rsidRPr="00470408">
        <w:t>At the core of this case are management’s beliefs about the future scale of the company and the extent to which AI usage is expected to increase over the next four years.</w:t>
      </w:r>
    </w:p>
    <w:p w14:paraId="6EEAF3B5" w14:textId="77777777" w:rsidR="00470408" w:rsidRPr="00470408" w:rsidRDefault="00470408" w:rsidP="00470408">
      <w:r w:rsidRPr="00470408">
        <w:t>To simplify the analysis, assume the following:</w:t>
      </w:r>
    </w:p>
    <w:p w14:paraId="46945965" w14:textId="77777777" w:rsidR="00470408" w:rsidRPr="00470408" w:rsidRDefault="00470408" w:rsidP="00470408">
      <w:pPr>
        <w:numPr>
          <w:ilvl w:val="0"/>
          <w:numId w:val="8"/>
        </w:numPr>
      </w:pPr>
      <w:r w:rsidRPr="00470408">
        <w:t xml:space="preserve">Under the compute (“Build”) strategy, the initial investment in compute infrastructure is sufficient to support the company’s expected AI workload with only relatively small ongoing costs (e.g., electricity and limited API usage). </w:t>
      </w:r>
    </w:p>
    <w:p w14:paraId="44364E3C" w14:textId="77777777" w:rsidR="00470408" w:rsidRPr="00470408" w:rsidRDefault="00470408" w:rsidP="00470408">
      <w:pPr>
        <w:numPr>
          <w:ilvl w:val="0"/>
          <w:numId w:val="8"/>
        </w:numPr>
      </w:pPr>
      <w:r w:rsidRPr="00470408">
        <w:t xml:space="preserve">Under the subscribe (“Buy”) strategy, there is little or no upfront investment, but the company faces substantially larger recurring costs tied to AI usage. </w:t>
      </w:r>
    </w:p>
    <w:p w14:paraId="726425C4" w14:textId="77777777" w:rsidR="00470408" w:rsidRPr="00470408" w:rsidRDefault="00470408" w:rsidP="00470408">
      <w:r w:rsidRPr="00470408">
        <w:t>Managerial accounting often describes this type of decision as a trade-off between fixed and variable costs:</w:t>
      </w:r>
    </w:p>
    <w:p w14:paraId="0709C578" w14:textId="3947C557" w:rsidR="00470408" w:rsidRPr="00470408" w:rsidRDefault="00470408" w:rsidP="00470408">
      <m:oMathPara>
        <m:oMath>
          <m:sSub>
            <m:sSubPr>
              <m:ctrlPr>
                <w:rPr>
                  <w:rFonts w:ascii="Cambria Math" w:hAnsi="Cambria Math"/>
                </w:rPr>
              </m:ctrlPr>
            </m:sSubPr>
            <m:e>
              <m:r>
                <m:rPr>
                  <m:nor/>
                </m:rPr>
                <m:t>Fixed</m:t>
              </m:r>
              <m:r>
                <m:rPr>
                  <m:nor/>
                </m:rPr>
                <m:t xml:space="preserve"> </m:t>
              </m:r>
              <m:r>
                <m:rPr>
                  <m:nor/>
                </m:rPr>
                <m:t>Cost</m:t>
              </m:r>
            </m:e>
            <m:sub>
              <m:r>
                <w:rPr>
                  <w:rFonts w:ascii="Cambria Math" w:hAnsi="Cambria Math"/>
                </w:rPr>
                <m:t>Buy</m:t>
              </m:r>
            </m:sub>
          </m:sSub>
          <m:r>
            <w:rPr>
              <w:rFonts w:ascii="Cambria Math" w:hAnsi="Cambria Math"/>
            </w:rPr>
            <m:t>+(</m:t>
          </m:r>
          <m:sSub>
            <m:sSubPr>
              <m:ctrlPr>
                <w:rPr>
                  <w:rFonts w:ascii="Cambria Math" w:hAnsi="Cambria Math"/>
                </w:rPr>
              </m:ctrlPr>
            </m:sSubPr>
            <m:e>
              <m:r>
                <m:rPr>
                  <m:nor/>
                </m:rPr>
                <m:t>Variable</m:t>
              </m:r>
              <m:r>
                <m:rPr>
                  <m:nor/>
                </m:rPr>
                <m:t xml:space="preserve"> </m:t>
              </m:r>
              <m:r>
                <m:rPr>
                  <m:nor/>
                </m:rPr>
                <m:t>Cost</m:t>
              </m:r>
            </m:e>
            <m:sub>
              <m:r>
                <w:rPr>
                  <w:rFonts w:ascii="Cambria Math" w:hAnsi="Cambria Math"/>
                </w:rPr>
                <m:t>Buy</m:t>
              </m:r>
            </m:sub>
          </m:sSub>
          <m:r>
            <w:rPr>
              <w:rFonts w:ascii="Cambria Math" w:hAnsi="Cambria Math"/>
            </w:rPr>
            <m:t>×Q)=</m:t>
          </m:r>
          <m:sSub>
            <m:sSubPr>
              <m:ctrlPr>
                <w:rPr>
                  <w:rFonts w:ascii="Cambria Math" w:hAnsi="Cambria Math"/>
                </w:rPr>
              </m:ctrlPr>
            </m:sSubPr>
            <m:e>
              <m:r>
                <m:rPr>
                  <m:nor/>
                </m:rPr>
                <m:t>Fixed</m:t>
              </m:r>
              <m:r>
                <m:rPr>
                  <m:nor/>
                </m:rPr>
                <m:t xml:space="preserve"> </m:t>
              </m:r>
              <m:r>
                <m:rPr>
                  <m:nor/>
                </m:rPr>
                <m:t>Cost</m:t>
              </m:r>
            </m:e>
            <m:sub>
              <m:r>
                <w:rPr>
                  <w:rFonts w:ascii="Cambria Math" w:hAnsi="Cambria Math"/>
                </w:rPr>
                <m:t>Build</m:t>
              </m:r>
            </m:sub>
          </m:sSub>
          <m:r>
            <w:rPr>
              <w:rFonts w:ascii="Cambria Math" w:hAnsi="Cambria Math"/>
            </w:rPr>
            <m:t>+(</m:t>
          </m:r>
          <m:sSub>
            <m:sSubPr>
              <m:ctrlPr>
                <w:rPr>
                  <w:rFonts w:ascii="Cambria Math" w:hAnsi="Cambria Math"/>
                </w:rPr>
              </m:ctrlPr>
            </m:sSubPr>
            <m:e>
              <m:r>
                <m:rPr>
                  <m:nor/>
                </m:rPr>
                <m:t>Variable</m:t>
              </m:r>
              <m:r>
                <m:rPr>
                  <m:nor/>
                </m:rPr>
                <m:t xml:space="preserve"> </m:t>
              </m:r>
              <m:r>
                <m:rPr>
                  <m:nor/>
                </m:rPr>
                <m:t>Cost</m:t>
              </m:r>
            </m:e>
            <m:sub>
              <m:r>
                <w:rPr>
                  <w:rFonts w:ascii="Cambria Math" w:hAnsi="Cambria Math"/>
                </w:rPr>
                <m:t>Build</m:t>
              </m:r>
            </m:sub>
          </m:sSub>
          <m:r>
            <w:rPr>
              <w:rFonts w:ascii="Cambria Math" w:hAnsi="Cambria Math"/>
            </w:rPr>
            <m:t>×Q)</m:t>
          </m:r>
        </m:oMath>
      </m:oMathPara>
    </w:p>
    <w:p w14:paraId="1CE94A69" w14:textId="77777777" w:rsidR="00470408" w:rsidRPr="00470408" w:rsidRDefault="00470408" w:rsidP="00470408">
      <w:r w:rsidRPr="00470408">
        <w:t>Where:</w:t>
      </w:r>
    </w:p>
    <w:p w14:paraId="56A839EB" w14:textId="61039AA3" w:rsidR="00470408" w:rsidRPr="00470408" w:rsidRDefault="00470408" w:rsidP="00470408">
      <w:pPr>
        <w:numPr>
          <w:ilvl w:val="0"/>
          <w:numId w:val="9"/>
        </w:numPr>
      </w:pPr>
      <m:oMath>
        <m:r>
          <w:rPr>
            <w:rFonts w:ascii="Cambria Math" w:hAnsi="Cambria Math"/>
          </w:rPr>
          <m:t>Q</m:t>
        </m:r>
      </m:oMath>
      <w:r w:rsidRPr="00470408">
        <w:t xml:space="preserve">represents the quantity of AI processing units demanded, such as AI workflows, API usage, or token-related compute activity. </w:t>
      </w:r>
    </w:p>
    <w:p w14:paraId="0EC2C7F0" w14:textId="77777777" w:rsidR="00470408" w:rsidRPr="00470408" w:rsidRDefault="00470408" w:rsidP="00470408">
      <w:r w:rsidRPr="00470408">
        <w:t>Consider the following simplified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0"/>
        <w:gridCol w:w="1620"/>
        <w:gridCol w:w="1800"/>
      </w:tblGrid>
      <w:tr w:rsidR="00470408" w:rsidRPr="00470408" w14:paraId="154B3446" w14:textId="77777777" w:rsidTr="00470408">
        <w:trPr>
          <w:tblHeader/>
          <w:tblCellSpacing w:w="15" w:type="dxa"/>
        </w:trPr>
        <w:tc>
          <w:tcPr>
            <w:tcW w:w="3825" w:type="dxa"/>
            <w:vAlign w:val="center"/>
            <w:hideMark/>
          </w:tcPr>
          <w:p w14:paraId="617CF450" w14:textId="77777777" w:rsidR="00470408" w:rsidRPr="00470408" w:rsidRDefault="00470408" w:rsidP="00470408">
            <w:pPr>
              <w:rPr>
                <w:b/>
                <w:bCs/>
              </w:rPr>
            </w:pPr>
            <w:r w:rsidRPr="00470408">
              <w:rPr>
                <w:b/>
                <w:bCs/>
              </w:rPr>
              <w:t>Variable</w:t>
            </w:r>
          </w:p>
        </w:tc>
        <w:tc>
          <w:tcPr>
            <w:tcW w:w="1590" w:type="dxa"/>
            <w:vAlign w:val="center"/>
            <w:hideMark/>
          </w:tcPr>
          <w:p w14:paraId="11B58EC3" w14:textId="77777777" w:rsidR="00470408" w:rsidRPr="00470408" w:rsidRDefault="00470408" w:rsidP="00470408">
            <w:pPr>
              <w:rPr>
                <w:b/>
                <w:bCs/>
              </w:rPr>
            </w:pPr>
            <w:r w:rsidRPr="00470408">
              <w:rPr>
                <w:b/>
                <w:bCs/>
              </w:rPr>
              <w:t>Buy</w:t>
            </w:r>
          </w:p>
        </w:tc>
        <w:tc>
          <w:tcPr>
            <w:tcW w:w="1755" w:type="dxa"/>
            <w:vAlign w:val="center"/>
            <w:hideMark/>
          </w:tcPr>
          <w:p w14:paraId="7D327F51" w14:textId="77777777" w:rsidR="00470408" w:rsidRPr="00470408" w:rsidRDefault="00470408" w:rsidP="00470408">
            <w:pPr>
              <w:rPr>
                <w:b/>
                <w:bCs/>
              </w:rPr>
            </w:pPr>
            <w:r w:rsidRPr="00470408">
              <w:rPr>
                <w:b/>
                <w:bCs/>
              </w:rPr>
              <w:t>Build</w:t>
            </w:r>
          </w:p>
        </w:tc>
      </w:tr>
      <w:tr w:rsidR="00470408" w:rsidRPr="00470408" w14:paraId="377E4DC1" w14:textId="77777777" w:rsidTr="00470408">
        <w:trPr>
          <w:tblCellSpacing w:w="15" w:type="dxa"/>
        </w:trPr>
        <w:tc>
          <w:tcPr>
            <w:tcW w:w="3825" w:type="dxa"/>
            <w:vAlign w:val="center"/>
            <w:hideMark/>
          </w:tcPr>
          <w:p w14:paraId="01212000" w14:textId="77777777" w:rsidR="00470408" w:rsidRPr="00470408" w:rsidRDefault="00470408" w:rsidP="00470408">
            <w:r w:rsidRPr="00470408">
              <w:t>Fixed Costs</w:t>
            </w:r>
          </w:p>
        </w:tc>
        <w:tc>
          <w:tcPr>
            <w:tcW w:w="1590" w:type="dxa"/>
            <w:vAlign w:val="center"/>
            <w:hideMark/>
          </w:tcPr>
          <w:p w14:paraId="6ED546CF" w14:textId="77777777" w:rsidR="00470408" w:rsidRPr="00470408" w:rsidRDefault="00470408" w:rsidP="00470408">
            <w:r w:rsidRPr="00470408">
              <w:t>0</w:t>
            </w:r>
          </w:p>
        </w:tc>
        <w:tc>
          <w:tcPr>
            <w:tcW w:w="1755" w:type="dxa"/>
            <w:vAlign w:val="center"/>
            <w:hideMark/>
          </w:tcPr>
          <w:p w14:paraId="070A76DA" w14:textId="77777777" w:rsidR="00470408" w:rsidRPr="00470408" w:rsidRDefault="00470408" w:rsidP="00470408">
            <w:r w:rsidRPr="00470408">
              <w:t>100,000</w:t>
            </w:r>
          </w:p>
        </w:tc>
      </w:tr>
      <w:tr w:rsidR="00470408" w:rsidRPr="00470408" w14:paraId="2B8CDB41" w14:textId="77777777" w:rsidTr="00470408">
        <w:trPr>
          <w:tblCellSpacing w:w="15" w:type="dxa"/>
        </w:trPr>
        <w:tc>
          <w:tcPr>
            <w:tcW w:w="3825" w:type="dxa"/>
            <w:vAlign w:val="center"/>
            <w:hideMark/>
          </w:tcPr>
          <w:p w14:paraId="0379C6AD" w14:textId="77777777" w:rsidR="00470408" w:rsidRPr="00470408" w:rsidRDefault="00470408" w:rsidP="00470408">
            <w:r w:rsidRPr="00470408">
              <w:t>Variable Cost per Unit</w:t>
            </w:r>
          </w:p>
        </w:tc>
        <w:tc>
          <w:tcPr>
            <w:tcW w:w="1590" w:type="dxa"/>
            <w:vAlign w:val="center"/>
            <w:hideMark/>
          </w:tcPr>
          <w:p w14:paraId="71C77AFD" w14:textId="77777777" w:rsidR="00470408" w:rsidRPr="00470408" w:rsidRDefault="00470408" w:rsidP="00470408">
            <w:r w:rsidRPr="00470408">
              <w:t>24</w:t>
            </w:r>
          </w:p>
        </w:tc>
        <w:tc>
          <w:tcPr>
            <w:tcW w:w="1755" w:type="dxa"/>
            <w:vAlign w:val="center"/>
            <w:hideMark/>
          </w:tcPr>
          <w:p w14:paraId="0CC63932" w14:textId="77777777" w:rsidR="00470408" w:rsidRPr="00470408" w:rsidRDefault="00470408" w:rsidP="00470408">
            <w:r w:rsidRPr="00470408">
              <w:t>4</w:t>
            </w:r>
          </w:p>
        </w:tc>
      </w:tr>
    </w:tbl>
    <w:p w14:paraId="55C406E8" w14:textId="77777777" w:rsidR="00470408" w:rsidRPr="00470408" w:rsidRDefault="00470408" w:rsidP="00470408">
      <w:r w:rsidRPr="00470408">
        <w:t>This produces the following cost equations:</w:t>
      </w:r>
    </w:p>
    <w:p w14:paraId="5C49D842" w14:textId="135328B3" w:rsidR="00470408" w:rsidRPr="00470408" w:rsidRDefault="00470408" w:rsidP="00470408">
      <m:oMathPara>
        <m:oMath>
          <m:sSub>
            <m:sSubPr>
              <m:ctrlPr>
                <w:rPr>
                  <w:rFonts w:ascii="Cambria Math" w:hAnsi="Cambria Math"/>
                </w:rPr>
              </m:ctrlPr>
            </m:sSubPr>
            <m:e>
              <m:r>
                <m:rPr>
                  <m:nor/>
                </m:rPr>
                <m:t>Cost</m:t>
              </m:r>
            </m:e>
            <m:sub>
              <m:r>
                <w:rPr>
                  <w:rFonts w:ascii="Cambria Math" w:hAnsi="Cambria Math"/>
                </w:rPr>
                <m:t>Buy</m:t>
              </m:r>
            </m:sub>
          </m:sSub>
          <m:r>
            <w:rPr>
              <w:rFonts w:ascii="Cambria Math" w:hAnsi="Cambria Math"/>
            </w:rPr>
            <m:t>=24Q</m:t>
          </m:r>
        </m:oMath>
      </m:oMathPara>
    </w:p>
    <w:p w14:paraId="17FA3DFC" w14:textId="08983D85" w:rsidR="00470408" w:rsidRPr="00470408" w:rsidRDefault="00470408" w:rsidP="00470408">
      <m:oMathPara>
        <m:oMath>
          <m:sSub>
            <m:sSubPr>
              <m:ctrlPr>
                <w:rPr>
                  <w:rFonts w:ascii="Cambria Math" w:hAnsi="Cambria Math"/>
                </w:rPr>
              </m:ctrlPr>
            </m:sSubPr>
            <m:e>
              <m:r>
                <m:rPr>
                  <m:nor/>
                </m:rPr>
                <m:t>Cost</m:t>
              </m:r>
            </m:e>
            <m:sub>
              <m:r>
                <w:rPr>
                  <w:rFonts w:ascii="Cambria Math" w:hAnsi="Cambria Math"/>
                </w:rPr>
                <m:t>Build</m:t>
              </m:r>
            </m:sub>
          </m:sSub>
          <m:r>
            <w:rPr>
              <w:rFonts w:ascii="Cambria Math" w:hAnsi="Cambria Math"/>
            </w:rPr>
            <m:t>=100000+4Q</m:t>
          </m:r>
        </m:oMath>
      </m:oMathPara>
    </w:p>
    <w:p w14:paraId="7628B680" w14:textId="77777777" w:rsidR="00470408" w:rsidRPr="00470408" w:rsidRDefault="00470408" w:rsidP="00470408">
      <w:proofErr w:type="gramStart"/>
      <w:r w:rsidRPr="00470408">
        <w:t>Solving for</w:t>
      </w:r>
      <w:proofErr w:type="gramEnd"/>
      <w:r w:rsidRPr="00470408">
        <w:t xml:space="preserve"> the point where the two strategies are equivalent:</w:t>
      </w:r>
    </w:p>
    <w:p w14:paraId="12EE310F" w14:textId="397478BC" w:rsidR="00470408" w:rsidRPr="00470408" w:rsidRDefault="00470408" w:rsidP="00470408">
      <m:oMathPara>
        <m:oMath>
          <m:r>
            <w:rPr>
              <w:rFonts w:ascii="Cambria Math" w:hAnsi="Cambria Math"/>
            </w:rPr>
            <m:t>24Q=100000+4Q</m:t>
          </m:r>
        </m:oMath>
      </m:oMathPara>
    </w:p>
    <w:p w14:paraId="56DCB6EF" w14:textId="77777777" w:rsidR="00470408" w:rsidRPr="00470408" w:rsidRDefault="00470408" w:rsidP="00470408">
      <w:r w:rsidRPr="00470408">
        <w:t>Results in:</w:t>
      </w:r>
    </w:p>
    <w:p w14:paraId="6C62C849" w14:textId="1C73B9CC" w:rsidR="00470408" w:rsidRPr="00470408" w:rsidRDefault="00470408" w:rsidP="00470408">
      <m:oMathPara>
        <m:oMath>
          <m:r>
            <w:rPr>
              <w:rFonts w:ascii="Cambria Math" w:hAnsi="Cambria Math"/>
            </w:rPr>
            <m:t>Q=</m:t>
          </m:r>
          <m:r>
            <m:rPr>
              <m:sty m:val="p"/>
            </m:rPr>
            <w:rPr>
              <w:rFonts w:ascii="Cambria Math" w:hAnsi="Cambria Math"/>
            </w:rPr>
            <m:t>5,000</m:t>
          </m:r>
          <m:r>
            <m:rPr>
              <m:sty m:val="p"/>
            </m:rPr>
            <w:rPr>
              <w:rFonts w:ascii="Cambria Math" w:hAnsi="Cambria Math"/>
            </w:rPr>
            <m:t xml:space="preserve"> </m:t>
          </m:r>
          <m:r>
            <m:rPr>
              <m:nor/>
            </m:rPr>
            <m:t>units</m:t>
          </m:r>
          <m:r>
            <w:br/>
          </m:r>
        </m:oMath>
      </m:oMathPara>
    </w:p>
    <w:p w14:paraId="24AA9414" w14:textId="77777777" w:rsidR="00470408" w:rsidRPr="00470408" w:rsidRDefault="00470408" w:rsidP="00470408">
      <w:r w:rsidRPr="00470408">
        <w:t>This represents a simplified break-even analysis:</w:t>
      </w:r>
    </w:p>
    <w:p w14:paraId="3EFF8AF9" w14:textId="77777777" w:rsidR="00470408" w:rsidRPr="00470408" w:rsidRDefault="00470408" w:rsidP="00470408">
      <w:pPr>
        <w:numPr>
          <w:ilvl w:val="0"/>
          <w:numId w:val="10"/>
        </w:numPr>
      </w:pPr>
      <w:r w:rsidRPr="00470408">
        <w:lastRenderedPageBreak/>
        <w:t xml:space="preserve">Below 5,000 units, the Buy strategy is less costly. </w:t>
      </w:r>
    </w:p>
    <w:p w14:paraId="6C8345C6" w14:textId="77777777" w:rsidR="00470408" w:rsidRPr="00470408" w:rsidRDefault="00470408" w:rsidP="00470408">
      <w:pPr>
        <w:numPr>
          <w:ilvl w:val="0"/>
          <w:numId w:val="10"/>
        </w:numPr>
      </w:pPr>
      <w:r w:rsidRPr="00470408">
        <w:t xml:space="preserve">Above 5,000 units, the Build strategy becomes increasingly financially attractive because the variable costs associated with subscriptions and API usage increase more rapidly. </w:t>
      </w:r>
    </w:p>
    <w:p w14:paraId="0318BC89" w14:textId="0A4A274E" w:rsidR="00470408" w:rsidRPr="00470408" w:rsidRDefault="00470408" w:rsidP="00470408">
      <w:r w:rsidRPr="00470408">
        <w:t>Although highly simplified, this analysis illustrates the trade-off between large upfront investments and recurring subscription-based operating costs.</w:t>
      </w:r>
      <w:r>
        <w:t xml:space="preserve"> </w:t>
      </w:r>
    </w:p>
    <w:p w14:paraId="615D44F1" w14:textId="77777777" w:rsidR="00FB3D94" w:rsidRDefault="00FB3D94" w:rsidP="00505BAA">
      <w:pPr>
        <w:rPr>
          <w:b/>
          <w:bCs/>
          <w:i/>
          <w:iCs/>
        </w:rPr>
      </w:pPr>
    </w:p>
    <w:p w14:paraId="22F39E1A" w14:textId="31722801" w:rsidR="00505BAA" w:rsidRPr="0006037F" w:rsidRDefault="0006037F" w:rsidP="00505BAA">
      <w:pPr>
        <w:rPr>
          <w:b/>
          <w:bCs/>
          <w:i/>
          <w:iCs/>
        </w:rPr>
      </w:pPr>
      <w:r w:rsidRPr="0006037F">
        <w:rPr>
          <w:b/>
          <w:bCs/>
          <w:i/>
          <w:iCs/>
        </w:rPr>
        <w:t>Case Analysis</w:t>
      </w:r>
    </w:p>
    <w:p w14:paraId="5E48BFA8" w14:textId="580A4FF3" w:rsidR="00505BAA" w:rsidRDefault="00505BAA" w:rsidP="0006037F">
      <w:pPr>
        <w:pStyle w:val="ListParagraph"/>
        <w:numPr>
          <w:ilvl w:val="0"/>
          <w:numId w:val="6"/>
        </w:numPr>
      </w:pPr>
      <w:r>
        <w:t>In the box below,</w:t>
      </w:r>
      <w:r w:rsidR="0006037F">
        <w:t xml:space="preserve"> outline w</w:t>
      </w:r>
      <w:r w:rsidR="0006037F" w:rsidRPr="0006037F">
        <w:t>hich strategy appears financially preferable under the assumptions</w:t>
      </w:r>
      <w:r w:rsidR="0006037F">
        <w:t xml:space="preserve"> presented by management</w:t>
      </w:r>
      <w:r w:rsidR="00A808AF">
        <w:t>.</w:t>
      </w:r>
      <w:r w:rsidR="00CB7305">
        <w:t xml:space="preserve"> What are management’s key assumptions?</w:t>
      </w:r>
    </w:p>
    <w:tbl>
      <w:tblPr>
        <w:tblStyle w:val="TableGrid"/>
        <w:tblW w:w="0" w:type="auto"/>
        <w:tblLook w:val="04A0" w:firstRow="1" w:lastRow="0" w:firstColumn="1" w:lastColumn="0" w:noHBand="0" w:noVBand="1"/>
      </w:tblPr>
      <w:tblGrid>
        <w:gridCol w:w="9350"/>
      </w:tblGrid>
      <w:tr w:rsidR="00A808AF" w14:paraId="3E3429F3" w14:textId="77777777" w:rsidTr="0006037F">
        <w:trPr>
          <w:trHeight w:val="1538"/>
        </w:trPr>
        <w:tc>
          <w:tcPr>
            <w:tcW w:w="9350" w:type="dxa"/>
          </w:tcPr>
          <w:p w14:paraId="37727D0D" w14:textId="77777777" w:rsidR="00A808AF" w:rsidRDefault="00A808AF"/>
        </w:tc>
      </w:tr>
    </w:tbl>
    <w:p w14:paraId="19455037" w14:textId="77777777" w:rsidR="0006037F" w:rsidRDefault="0006037F">
      <w:pPr>
        <w:rPr>
          <w:i/>
          <w:iCs/>
        </w:rPr>
      </w:pPr>
    </w:p>
    <w:p w14:paraId="051CE7A0" w14:textId="17143893" w:rsidR="0006037F" w:rsidRPr="0006037F" w:rsidRDefault="0006037F" w:rsidP="0006037F">
      <w:pPr>
        <w:pStyle w:val="ListParagraph"/>
        <w:numPr>
          <w:ilvl w:val="0"/>
          <w:numId w:val="6"/>
        </w:numPr>
      </w:pPr>
      <w:r w:rsidRPr="0006037F">
        <w:t>Which assumptions introduce the greatest uncertainty into the analysis</w:t>
      </w:r>
      <w:r w:rsidR="00CB7305">
        <w:t xml:space="preserve"> (what are you least comfortable forecasting)</w:t>
      </w:r>
      <w:r w:rsidRPr="0006037F">
        <w:t>?</w:t>
      </w:r>
      <w:r>
        <w:t xml:space="preserve"> Discuss both the compute and subscribe investment options.</w:t>
      </w:r>
    </w:p>
    <w:tbl>
      <w:tblPr>
        <w:tblStyle w:val="TableGrid"/>
        <w:tblW w:w="0" w:type="auto"/>
        <w:tblLook w:val="04A0" w:firstRow="1" w:lastRow="0" w:firstColumn="1" w:lastColumn="0" w:noHBand="0" w:noVBand="1"/>
      </w:tblPr>
      <w:tblGrid>
        <w:gridCol w:w="9350"/>
      </w:tblGrid>
      <w:tr w:rsidR="0006037F" w14:paraId="0EB70342" w14:textId="77777777" w:rsidTr="00F82241">
        <w:trPr>
          <w:trHeight w:val="1538"/>
        </w:trPr>
        <w:tc>
          <w:tcPr>
            <w:tcW w:w="9350" w:type="dxa"/>
          </w:tcPr>
          <w:p w14:paraId="26406031" w14:textId="77777777" w:rsidR="0006037F" w:rsidRDefault="0006037F" w:rsidP="00F82241"/>
        </w:tc>
      </w:tr>
    </w:tbl>
    <w:p w14:paraId="1E04AB15" w14:textId="77777777" w:rsidR="0006037F" w:rsidRDefault="0006037F" w:rsidP="0006037F">
      <w:pPr>
        <w:rPr>
          <w:i/>
          <w:iCs/>
        </w:rPr>
      </w:pPr>
    </w:p>
    <w:p w14:paraId="536703F6" w14:textId="0442A2B4" w:rsidR="00505BAA" w:rsidRPr="00FC5E62" w:rsidRDefault="00470408" w:rsidP="0006037F">
      <w:pPr>
        <w:pStyle w:val="ListParagraph"/>
        <w:numPr>
          <w:ilvl w:val="0"/>
          <w:numId w:val="6"/>
        </w:numPr>
        <w:rPr>
          <w:i/>
          <w:iCs/>
        </w:rPr>
      </w:pPr>
      <w:r w:rsidRPr="00470408">
        <w:rPr>
          <w:b/>
          <w:bCs/>
        </w:rPr>
        <w:t>A</w:t>
      </w:r>
      <w:r>
        <w:rPr>
          <w:b/>
          <w:bCs/>
        </w:rPr>
        <w:t>s</w:t>
      </w:r>
      <w:r w:rsidRPr="00470408">
        <w:rPr>
          <w:b/>
          <w:bCs/>
        </w:rPr>
        <w:t xml:space="preserve"> an individual:</w:t>
      </w:r>
      <w:r>
        <w:t xml:space="preserve"> </w:t>
      </w:r>
      <w:r w:rsidRPr="00470408">
        <w:t xml:space="preserve">Which assumptions about future AI usage, subscription pricing, or compute costs would you modify? Explain why your revised assumptions may better reflect the future economics of AI </w:t>
      </w:r>
      <w:r>
        <w:t>subscriptions or required hardware</w:t>
      </w:r>
      <w:r w:rsidR="00774C2D">
        <w:t>.</w:t>
      </w:r>
    </w:p>
    <w:tbl>
      <w:tblPr>
        <w:tblStyle w:val="TableGrid"/>
        <w:tblW w:w="0" w:type="auto"/>
        <w:tblLook w:val="04A0" w:firstRow="1" w:lastRow="0" w:firstColumn="1" w:lastColumn="0" w:noHBand="0" w:noVBand="1"/>
      </w:tblPr>
      <w:tblGrid>
        <w:gridCol w:w="9350"/>
      </w:tblGrid>
      <w:tr w:rsidR="00774C2D" w14:paraId="75A34674" w14:textId="77777777" w:rsidTr="00F82241">
        <w:trPr>
          <w:trHeight w:val="1538"/>
        </w:trPr>
        <w:tc>
          <w:tcPr>
            <w:tcW w:w="9350" w:type="dxa"/>
          </w:tcPr>
          <w:p w14:paraId="3E80FE29" w14:textId="77777777" w:rsidR="00774C2D" w:rsidRDefault="00774C2D" w:rsidP="00F82241"/>
        </w:tc>
      </w:tr>
    </w:tbl>
    <w:p w14:paraId="7C474520" w14:textId="77777777" w:rsidR="00774C2D" w:rsidRDefault="00774C2D" w:rsidP="00FC5E62">
      <w:pPr>
        <w:rPr>
          <w:i/>
          <w:iCs/>
        </w:rPr>
      </w:pPr>
    </w:p>
    <w:p w14:paraId="796D8869" w14:textId="3FA8446C" w:rsidR="00FC5E62" w:rsidRPr="00774C2D" w:rsidRDefault="00470408" w:rsidP="00774C2D">
      <w:pPr>
        <w:pStyle w:val="ListParagraph"/>
        <w:numPr>
          <w:ilvl w:val="0"/>
          <w:numId w:val="6"/>
        </w:numPr>
      </w:pPr>
      <w:r w:rsidRPr="00470408">
        <w:rPr>
          <w:b/>
          <w:bCs/>
        </w:rPr>
        <w:t>In pairs or small groups:</w:t>
      </w:r>
      <w:r>
        <w:t xml:space="preserve"> </w:t>
      </w:r>
      <w:r w:rsidRPr="00470408">
        <w:t xml:space="preserve">discuss the differences in your forecasts and projected NPVs across the various cases. Did your </w:t>
      </w:r>
      <w:proofErr w:type="gramStart"/>
      <w:r w:rsidRPr="00470408">
        <w:t>analyses</w:t>
      </w:r>
      <w:proofErr w:type="gramEnd"/>
      <w:r w:rsidRPr="00470408">
        <w:t xml:space="preserve"> produce different recommendations or outcomes? Which assumptions contributed most significantly to those differences?</w:t>
      </w:r>
    </w:p>
    <w:tbl>
      <w:tblPr>
        <w:tblStyle w:val="TableGrid"/>
        <w:tblW w:w="0" w:type="auto"/>
        <w:tblLook w:val="04A0" w:firstRow="1" w:lastRow="0" w:firstColumn="1" w:lastColumn="0" w:noHBand="0" w:noVBand="1"/>
      </w:tblPr>
      <w:tblGrid>
        <w:gridCol w:w="9350"/>
      </w:tblGrid>
      <w:tr w:rsidR="00774C2D" w14:paraId="7780D38F" w14:textId="77777777" w:rsidTr="00F82241">
        <w:trPr>
          <w:trHeight w:val="1538"/>
        </w:trPr>
        <w:tc>
          <w:tcPr>
            <w:tcW w:w="9350" w:type="dxa"/>
          </w:tcPr>
          <w:p w14:paraId="72E287CE" w14:textId="77777777" w:rsidR="00774C2D" w:rsidRDefault="00774C2D" w:rsidP="00F82241"/>
        </w:tc>
      </w:tr>
    </w:tbl>
    <w:p w14:paraId="757ECE82" w14:textId="77777777" w:rsidR="00470408" w:rsidRDefault="00470408" w:rsidP="00470408">
      <w:pPr>
        <w:rPr>
          <w:i/>
          <w:iCs/>
        </w:rPr>
      </w:pPr>
    </w:p>
    <w:p w14:paraId="1CC5381B" w14:textId="77777777" w:rsidR="00470408" w:rsidRPr="00774C2D" w:rsidRDefault="00470408" w:rsidP="00470408">
      <w:pPr>
        <w:pStyle w:val="ListParagraph"/>
        <w:numPr>
          <w:ilvl w:val="0"/>
          <w:numId w:val="6"/>
        </w:numPr>
      </w:pPr>
      <w:r w:rsidRPr="00774C2D">
        <w:t>Why might management still choose a strategy with a slightly worse financial outcome?</w:t>
      </w:r>
      <w:r>
        <w:t xml:space="preserve"> (Or what non-financial concerns might impact this investment decision).</w:t>
      </w:r>
    </w:p>
    <w:tbl>
      <w:tblPr>
        <w:tblStyle w:val="TableGrid"/>
        <w:tblW w:w="0" w:type="auto"/>
        <w:tblLook w:val="04A0" w:firstRow="1" w:lastRow="0" w:firstColumn="1" w:lastColumn="0" w:noHBand="0" w:noVBand="1"/>
      </w:tblPr>
      <w:tblGrid>
        <w:gridCol w:w="9350"/>
      </w:tblGrid>
      <w:tr w:rsidR="00470408" w14:paraId="67FCC311" w14:textId="77777777" w:rsidTr="00F82241">
        <w:trPr>
          <w:trHeight w:val="1538"/>
        </w:trPr>
        <w:tc>
          <w:tcPr>
            <w:tcW w:w="9350" w:type="dxa"/>
          </w:tcPr>
          <w:p w14:paraId="5506266B" w14:textId="77777777" w:rsidR="00470408" w:rsidRDefault="00470408" w:rsidP="00F82241"/>
        </w:tc>
      </w:tr>
    </w:tbl>
    <w:p w14:paraId="2440FA2E" w14:textId="77777777" w:rsidR="00774C2D" w:rsidRDefault="00774C2D" w:rsidP="00774C2D">
      <w:pPr>
        <w:rPr>
          <w:i/>
          <w:iCs/>
        </w:rPr>
      </w:pPr>
    </w:p>
    <w:p w14:paraId="770D44B8" w14:textId="61EBAD84" w:rsidR="00FC5E62" w:rsidRPr="00D25077" w:rsidRDefault="00D25077" w:rsidP="00D25077">
      <w:pPr>
        <w:pStyle w:val="ListParagraph"/>
        <w:numPr>
          <w:ilvl w:val="0"/>
          <w:numId w:val="6"/>
        </w:numPr>
      </w:pPr>
      <w:r w:rsidRPr="00D25077">
        <w:t xml:space="preserve">Which strategy would you recommend based on your </w:t>
      </w:r>
      <w:r w:rsidR="00252E4F" w:rsidRPr="00D25077">
        <w:t>analysis</w:t>
      </w:r>
      <w:r w:rsidRPr="00D25077">
        <w:t>?</w:t>
      </w:r>
    </w:p>
    <w:tbl>
      <w:tblPr>
        <w:tblStyle w:val="TableGrid"/>
        <w:tblW w:w="0" w:type="auto"/>
        <w:tblLook w:val="04A0" w:firstRow="1" w:lastRow="0" w:firstColumn="1" w:lastColumn="0" w:noHBand="0" w:noVBand="1"/>
      </w:tblPr>
      <w:tblGrid>
        <w:gridCol w:w="9350"/>
      </w:tblGrid>
      <w:tr w:rsidR="00D25077" w14:paraId="4D78A637" w14:textId="77777777" w:rsidTr="00F82241">
        <w:trPr>
          <w:trHeight w:val="1538"/>
        </w:trPr>
        <w:tc>
          <w:tcPr>
            <w:tcW w:w="9350" w:type="dxa"/>
          </w:tcPr>
          <w:p w14:paraId="657ED32F" w14:textId="77777777" w:rsidR="00D25077" w:rsidRDefault="00D25077" w:rsidP="00F82241"/>
        </w:tc>
      </w:tr>
    </w:tbl>
    <w:p w14:paraId="288D5FC1" w14:textId="77777777" w:rsidR="00D25077" w:rsidRDefault="00D25077" w:rsidP="00D25077">
      <w:pPr>
        <w:rPr>
          <w:i/>
          <w:iCs/>
        </w:rPr>
      </w:pPr>
    </w:p>
    <w:p w14:paraId="6998B2FE" w14:textId="77777777" w:rsidR="00D25077" w:rsidRDefault="00D25077" w:rsidP="00D25077">
      <w:pPr>
        <w:rPr>
          <w:i/>
          <w:iCs/>
        </w:rPr>
      </w:pPr>
    </w:p>
    <w:p w14:paraId="010986A3" w14:textId="77777777" w:rsidR="00D25077" w:rsidRPr="00D25077" w:rsidRDefault="00D25077" w:rsidP="00D25077">
      <w:pPr>
        <w:rPr>
          <w:i/>
          <w:iCs/>
        </w:rPr>
      </w:pPr>
    </w:p>
    <w:sectPr w:rsidR="00D25077" w:rsidRPr="00D25077" w:rsidSect="00F24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091"/>
    <w:multiLevelType w:val="hybridMultilevel"/>
    <w:tmpl w:val="78A8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8534F"/>
    <w:multiLevelType w:val="multilevel"/>
    <w:tmpl w:val="772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31BC"/>
    <w:multiLevelType w:val="multilevel"/>
    <w:tmpl w:val="8446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85031"/>
    <w:multiLevelType w:val="multilevel"/>
    <w:tmpl w:val="80DA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32B8A"/>
    <w:multiLevelType w:val="hybridMultilevel"/>
    <w:tmpl w:val="1228D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174D7B"/>
    <w:multiLevelType w:val="multilevel"/>
    <w:tmpl w:val="7A101B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836277"/>
    <w:multiLevelType w:val="hybridMultilevel"/>
    <w:tmpl w:val="01C4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D3354B"/>
    <w:multiLevelType w:val="hybridMultilevel"/>
    <w:tmpl w:val="43822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A063D"/>
    <w:multiLevelType w:val="hybridMultilevel"/>
    <w:tmpl w:val="8B281BF6"/>
    <w:lvl w:ilvl="0" w:tplc="97E4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C7760"/>
    <w:multiLevelType w:val="multilevel"/>
    <w:tmpl w:val="E642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112629">
    <w:abstractNumId w:val="6"/>
  </w:num>
  <w:num w:numId="2" w16cid:durableId="1272663947">
    <w:abstractNumId w:val="9"/>
  </w:num>
  <w:num w:numId="3" w16cid:durableId="2082870159">
    <w:abstractNumId w:val="5"/>
  </w:num>
  <w:num w:numId="4" w16cid:durableId="487941885">
    <w:abstractNumId w:val="8"/>
  </w:num>
  <w:num w:numId="5" w16cid:durableId="1763985317">
    <w:abstractNumId w:val="4"/>
  </w:num>
  <w:num w:numId="6" w16cid:durableId="429009241">
    <w:abstractNumId w:val="7"/>
  </w:num>
  <w:num w:numId="7" w16cid:durableId="721291450">
    <w:abstractNumId w:val="0"/>
  </w:num>
  <w:num w:numId="8" w16cid:durableId="623736693">
    <w:abstractNumId w:val="3"/>
  </w:num>
  <w:num w:numId="9" w16cid:durableId="880482146">
    <w:abstractNumId w:val="2"/>
  </w:num>
  <w:num w:numId="10" w16cid:durableId="25074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80"/>
    <w:rsid w:val="00013758"/>
    <w:rsid w:val="00020FDA"/>
    <w:rsid w:val="0002643C"/>
    <w:rsid w:val="00053327"/>
    <w:rsid w:val="0006037F"/>
    <w:rsid w:val="000D5251"/>
    <w:rsid w:val="00127542"/>
    <w:rsid w:val="001B1D80"/>
    <w:rsid w:val="001B2F48"/>
    <w:rsid w:val="001E285F"/>
    <w:rsid w:val="00207514"/>
    <w:rsid w:val="0023570C"/>
    <w:rsid w:val="00252E4F"/>
    <w:rsid w:val="00271DBF"/>
    <w:rsid w:val="002D4ED7"/>
    <w:rsid w:val="002E7FD8"/>
    <w:rsid w:val="002F3AB7"/>
    <w:rsid w:val="00365707"/>
    <w:rsid w:val="0037036C"/>
    <w:rsid w:val="003759A7"/>
    <w:rsid w:val="003938E1"/>
    <w:rsid w:val="003A5835"/>
    <w:rsid w:val="003C2526"/>
    <w:rsid w:val="003E6880"/>
    <w:rsid w:val="003F1BB4"/>
    <w:rsid w:val="004202A3"/>
    <w:rsid w:val="00444259"/>
    <w:rsid w:val="00455FBB"/>
    <w:rsid w:val="00470408"/>
    <w:rsid w:val="0048757D"/>
    <w:rsid w:val="004972BB"/>
    <w:rsid w:val="004C6F96"/>
    <w:rsid w:val="004E49C5"/>
    <w:rsid w:val="005019D8"/>
    <w:rsid w:val="00505BAA"/>
    <w:rsid w:val="00523064"/>
    <w:rsid w:val="0053455F"/>
    <w:rsid w:val="00541FD4"/>
    <w:rsid w:val="0054395D"/>
    <w:rsid w:val="0055706A"/>
    <w:rsid w:val="00573827"/>
    <w:rsid w:val="00597DA9"/>
    <w:rsid w:val="005A169B"/>
    <w:rsid w:val="00626925"/>
    <w:rsid w:val="006667D8"/>
    <w:rsid w:val="0067387D"/>
    <w:rsid w:val="00690512"/>
    <w:rsid w:val="006956DF"/>
    <w:rsid w:val="006C17E7"/>
    <w:rsid w:val="006C7275"/>
    <w:rsid w:val="006D3432"/>
    <w:rsid w:val="006D5B0F"/>
    <w:rsid w:val="006E6412"/>
    <w:rsid w:val="007250D6"/>
    <w:rsid w:val="00774C2D"/>
    <w:rsid w:val="007A18EB"/>
    <w:rsid w:val="007D6CEE"/>
    <w:rsid w:val="0080778A"/>
    <w:rsid w:val="00837653"/>
    <w:rsid w:val="0086656A"/>
    <w:rsid w:val="0089716F"/>
    <w:rsid w:val="008D232D"/>
    <w:rsid w:val="008D31E8"/>
    <w:rsid w:val="008E4CD4"/>
    <w:rsid w:val="00934C40"/>
    <w:rsid w:val="009437A7"/>
    <w:rsid w:val="009671AB"/>
    <w:rsid w:val="009A6AD3"/>
    <w:rsid w:val="009B14E8"/>
    <w:rsid w:val="00A07ED9"/>
    <w:rsid w:val="00A2533F"/>
    <w:rsid w:val="00A77B75"/>
    <w:rsid w:val="00A808AF"/>
    <w:rsid w:val="00AB05CE"/>
    <w:rsid w:val="00AD4408"/>
    <w:rsid w:val="00B00A9B"/>
    <w:rsid w:val="00B452C6"/>
    <w:rsid w:val="00B601F9"/>
    <w:rsid w:val="00BC3207"/>
    <w:rsid w:val="00BD0A42"/>
    <w:rsid w:val="00BF37EB"/>
    <w:rsid w:val="00C4234B"/>
    <w:rsid w:val="00CA7F7F"/>
    <w:rsid w:val="00CB25E5"/>
    <w:rsid w:val="00CB5600"/>
    <w:rsid w:val="00CB7305"/>
    <w:rsid w:val="00CC3451"/>
    <w:rsid w:val="00CC6D04"/>
    <w:rsid w:val="00CE5295"/>
    <w:rsid w:val="00CF18B4"/>
    <w:rsid w:val="00CF3BB5"/>
    <w:rsid w:val="00D25077"/>
    <w:rsid w:val="00D95B92"/>
    <w:rsid w:val="00DD39CD"/>
    <w:rsid w:val="00E80CB1"/>
    <w:rsid w:val="00EC5C7B"/>
    <w:rsid w:val="00F2493E"/>
    <w:rsid w:val="00F53B99"/>
    <w:rsid w:val="00F841A4"/>
    <w:rsid w:val="00FA64DC"/>
    <w:rsid w:val="00FB3D94"/>
    <w:rsid w:val="00FB408E"/>
    <w:rsid w:val="00FB505D"/>
    <w:rsid w:val="00FC5E62"/>
    <w:rsid w:val="00FD63BA"/>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9431"/>
  <w15:chartTrackingRefBased/>
  <w15:docId w15:val="{0E8FBF92-C4C4-4A13-A418-15EF231F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95"/>
  </w:style>
  <w:style w:type="paragraph" w:styleId="Heading1">
    <w:name w:val="heading 1"/>
    <w:basedOn w:val="Normal"/>
    <w:next w:val="Normal"/>
    <w:link w:val="Heading1Char"/>
    <w:uiPriority w:val="9"/>
    <w:qFormat/>
    <w:rsid w:val="003E6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80"/>
    <w:rPr>
      <w:rFonts w:eastAsiaTheme="majorEastAsia" w:cstheme="majorBidi"/>
      <w:color w:val="272727" w:themeColor="text1" w:themeTint="D8"/>
    </w:rPr>
  </w:style>
  <w:style w:type="paragraph" w:styleId="Title">
    <w:name w:val="Title"/>
    <w:basedOn w:val="Normal"/>
    <w:next w:val="Normal"/>
    <w:link w:val="TitleChar"/>
    <w:uiPriority w:val="10"/>
    <w:qFormat/>
    <w:rsid w:val="003E6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80"/>
    <w:pPr>
      <w:spacing w:before="160"/>
      <w:jc w:val="center"/>
    </w:pPr>
    <w:rPr>
      <w:i/>
      <w:iCs/>
      <w:color w:val="404040" w:themeColor="text1" w:themeTint="BF"/>
    </w:rPr>
  </w:style>
  <w:style w:type="character" w:customStyle="1" w:styleId="QuoteChar">
    <w:name w:val="Quote Char"/>
    <w:basedOn w:val="DefaultParagraphFont"/>
    <w:link w:val="Quote"/>
    <w:uiPriority w:val="29"/>
    <w:rsid w:val="003E6880"/>
    <w:rPr>
      <w:i/>
      <w:iCs/>
      <w:color w:val="404040" w:themeColor="text1" w:themeTint="BF"/>
    </w:rPr>
  </w:style>
  <w:style w:type="paragraph" w:styleId="ListParagraph">
    <w:name w:val="List Paragraph"/>
    <w:basedOn w:val="Normal"/>
    <w:uiPriority w:val="34"/>
    <w:qFormat/>
    <w:rsid w:val="003E6880"/>
    <w:pPr>
      <w:ind w:left="720"/>
      <w:contextualSpacing/>
    </w:pPr>
  </w:style>
  <w:style w:type="character" w:styleId="IntenseEmphasis">
    <w:name w:val="Intense Emphasis"/>
    <w:basedOn w:val="DefaultParagraphFont"/>
    <w:uiPriority w:val="21"/>
    <w:qFormat/>
    <w:rsid w:val="003E6880"/>
    <w:rPr>
      <w:i/>
      <w:iCs/>
      <w:color w:val="0F4761" w:themeColor="accent1" w:themeShade="BF"/>
    </w:rPr>
  </w:style>
  <w:style w:type="paragraph" w:styleId="IntenseQuote">
    <w:name w:val="Intense Quote"/>
    <w:basedOn w:val="Normal"/>
    <w:next w:val="Normal"/>
    <w:link w:val="IntenseQuoteChar"/>
    <w:uiPriority w:val="30"/>
    <w:qFormat/>
    <w:rsid w:val="003E6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80"/>
    <w:rPr>
      <w:i/>
      <w:iCs/>
      <w:color w:val="0F4761" w:themeColor="accent1" w:themeShade="BF"/>
    </w:rPr>
  </w:style>
  <w:style w:type="character" w:styleId="IntenseReference">
    <w:name w:val="Intense Reference"/>
    <w:basedOn w:val="DefaultParagraphFont"/>
    <w:uiPriority w:val="32"/>
    <w:qFormat/>
    <w:rsid w:val="003E6880"/>
    <w:rPr>
      <w:b/>
      <w:bCs/>
      <w:smallCaps/>
      <w:color w:val="0F4761" w:themeColor="accent1" w:themeShade="BF"/>
      <w:spacing w:val="5"/>
    </w:rPr>
  </w:style>
  <w:style w:type="table" w:styleId="TableGrid">
    <w:name w:val="Table Grid"/>
    <w:basedOn w:val="TableNormal"/>
    <w:uiPriority w:val="39"/>
    <w:rsid w:val="003E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Curtis</dc:creator>
  <cp:keywords/>
  <dc:description/>
  <cp:lastModifiedBy>Asher Curtis</cp:lastModifiedBy>
  <cp:revision>3</cp:revision>
  <dcterms:created xsi:type="dcterms:W3CDTF">2026-05-19T19:46:00Z</dcterms:created>
  <dcterms:modified xsi:type="dcterms:W3CDTF">2026-05-19T21:40:00Z</dcterms:modified>
</cp:coreProperties>
</file>