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DEDC" w14:textId="35FAF41F" w:rsidR="003E6880" w:rsidRPr="003E6880" w:rsidRDefault="003E6880" w:rsidP="003E6880">
      <w:pPr>
        <w:jc w:val="center"/>
        <w:rPr>
          <w:sz w:val="32"/>
          <w:szCs w:val="32"/>
        </w:rPr>
      </w:pPr>
      <w:r w:rsidRPr="003E6880">
        <w:rPr>
          <w:b/>
          <w:bCs/>
          <w:sz w:val="32"/>
          <w:szCs w:val="32"/>
        </w:rPr>
        <w:t>Introduction to Accounting and Finance Analytics</w:t>
      </w:r>
    </w:p>
    <w:p w14:paraId="191BB5D2" w14:textId="097688C7" w:rsidR="003E6880" w:rsidRDefault="003E6880" w:rsidP="003E6880">
      <w:pPr>
        <w:jc w:val="center"/>
      </w:pPr>
      <w:r>
        <w:t>BUS AN 500 | Class 1 | Submission Template</w:t>
      </w:r>
    </w:p>
    <w:p w14:paraId="7712D1BA" w14:textId="77777777" w:rsidR="003E6880" w:rsidRDefault="003E6880"/>
    <w:p w14:paraId="5B89B5BE" w14:textId="60ADC107" w:rsidR="003E6880" w:rsidRPr="001E285F" w:rsidRDefault="003E6880">
      <w:pPr>
        <w:rPr>
          <w:i/>
          <w:iCs/>
        </w:rPr>
      </w:pPr>
      <w:r w:rsidRPr="001E285F">
        <w:rPr>
          <w:i/>
          <w:iCs/>
        </w:rPr>
        <w:t>Part 1: Understanding the Client’s Performance</w:t>
      </w:r>
    </w:p>
    <w:p w14:paraId="4303E938" w14:textId="4567DFFD" w:rsidR="00FB408E" w:rsidRDefault="00FB408E">
      <w:r>
        <w:t xml:space="preserve">1.1 Read through the background information </w:t>
      </w:r>
      <w:r w:rsidR="00CB5600">
        <w:t xml:space="preserve">on PSU Hotel. </w:t>
      </w:r>
      <w:r w:rsidR="004C6F96">
        <w:t xml:space="preserve">PSU Hotel has two large main sources of revenue, Hotel Rents and Dining Services. </w:t>
      </w:r>
      <w:r w:rsidR="00CB5600">
        <w:t xml:space="preserve">Make notes below on what economic events might </w:t>
      </w:r>
      <w:r w:rsidR="00FB505D">
        <w:t xml:space="preserve">impact the relative performance of the </w:t>
      </w:r>
      <w:r w:rsidR="00CB5600">
        <w:t xml:space="preserve">firm </w:t>
      </w:r>
      <w:r w:rsidR="00FB505D">
        <w:t xml:space="preserve">when comparing the current year FY 16, with the prior year FY 15. </w:t>
      </w:r>
      <w:r w:rsidR="00AD4408">
        <w:t>As you read through the material</w:t>
      </w:r>
      <w:r w:rsidR="00CC3451">
        <w:t>, look for events or other information that cou</w:t>
      </w:r>
      <w:r w:rsidR="00455FBB">
        <w:t>l</w:t>
      </w:r>
      <w:r w:rsidR="00CC3451">
        <w:t xml:space="preserve">d help explain changes in the </w:t>
      </w:r>
      <w:r w:rsidR="00AD4408">
        <w:t xml:space="preserve">demand </w:t>
      </w:r>
      <w:r w:rsidR="00CC3451">
        <w:t>for</w:t>
      </w:r>
      <w:r w:rsidR="00AD4408">
        <w:t xml:space="preserve"> hotel stays</w:t>
      </w:r>
      <w:r w:rsidR="00455FBB">
        <w:t xml:space="preserve">, as well as events, contracts, or other information that could affect dining sales. </w:t>
      </w:r>
      <w:r w:rsidR="00CC6D04">
        <w:t>If the event occurs in a specific month, note down that month.</w:t>
      </w:r>
    </w:p>
    <w:p w14:paraId="72ABA182" w14:textId="77777777" w:rsidR="00FB408E" w:rsidRDefault="00FB408E"/>
    <w:p w14:paraId="13D78FC5" w14:textId="77777777" w:rsidR="00CC6D04" w:rsidRDefault="00CC6D04">
      <w:r>
        <w:br w:type="page"/>
      </w:r>
    </w:p>
    <w:p w14:paraId="0E6E64A4" w14:textId="04D95139" w:rsidR="00CC6D04" w:rsidRPr="001E285F" w:rsidRDefault="00CC6D04" w:rsidP="00CC6D04">
      <w:pPr>
        <w:rPr>
          <w:i/>
          <w:iCs/>
        </w:rPr>
      </w:pPr>
      <w:r w:rsidRPr="001E285F">
        <w:rPr>
          <w:i/>
          <w:iCs/>
        </w:rPr>
        <w:lastRenderedPageBreak/>
        <w:t xml:space="preserve">Part </w:t>
      </w:r>
      <w:r>
        <w:rPr>
          <w:i/>
          <w:iCs/>
        </w:rPr>
        <w:t>2</w:t>
      </w:r>
      <w:r w:rsidRPr="001E285F">
        <w:rPr>
          <w:i/>
          <w:iCs/>
        </w:rPr>
        <w:t xml:space="preserve">: </w:t>
      </w:r>
      <w:r w:rsidR="002D4ED7">
        <w:rPr>
          <w:i/>
          <w:iCs/>
        </w:rPr>
        <w:t xml:space="preserve">Understanding </w:t>
      </w:r>
      <w:r w:rsidRPr="001E285F">
        <w:rPr>
          <w:i/>
          <w:iCs/>
        </w:rPr>
        <w:t>the Client’s Performance</w:t>
      </w:r>
      <w:r w:rsidR="002D4ED7">
        <w:rPr>
          <w:i/>
          <w:iCs/>
        </w:rPr>
        <w:t xml:space="preserve"> Using Data Analytics</w:t>
      </w:r>
    </w:p>
    <w:p w14:paraId="00CE2320" w14:textId="55288CA2" w:rsidR="003E6880" w:rsidRDefault="00A77B75">
      <w:r>
        <w:t>2</w:t>
      </w:r>
      <w:r w:rsidR="003E6880">
        <w:t>.1 What is the client’s net income</w:t>
      </w:r>
      <w:r w:rsidR="00F53B99">
        <w:t xml:space="preserve"> (use the Income statement analysis tab)</w:t>
      </w:r>
      <w:r w:rsidR="003E6880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E6880" w14:paraId="3B302BA6" w14:textId="77777777" w:rsidTr="001E285F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144D6100" w14:textId="77777777" w:rsidR="001E285F" w:rsidRDefault="003E6880">
            <w:r>
              <w:t>Net Income = Revenues–Expenses</w:t>
            </w:r>
          </w:p>
          <w:p w14:paraId="41537EB1" w14:textId="19740E18" w:rsidR="003E6880" w:rsidRDefault="003E6880">
            <w:r>
              <w:t xml:space="preserve"> </w:t>
            </w:r>
          </w:p>
        </w:tc>
      </w:tr>
      <w:tr w:rsidR="003E6880" w14:paraId="314FEBD0" w14:textId="77777777" w:rsidTr="001E285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0C5" w14:textId="21DFEA39" w:rsidR="003E6880" w:rsidRDefault="003E6880">
            <w:r>
              <w:t>Revenue</w:t>
            </w:r>
          </w:p>
          <w:p w14:paraId="42074B48" w14:textId="77777777" w:rsidR="003E6880" w:rsidRDefault="003E6880"/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A0A" w14:textId="171C2487" w:rsidR="003E6880" w:rsidRDefault="003E6880">
            <w:r>
              <w:t>Less Expenses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5627" w14:textId="124507CD" w:rsidR="003E6880" w:rsidRDefault="003E6880">
            <w:r>
              <w:t>Net Income</w:t>
            </w:r>
          </w:p>
        </w:tc>
      </w:tr>
      <w:tr w:rsidR="003E6880" w14:paraId="2027B132" w14:textId="77777777" w:rsidTr="001E285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14F" w14:textId="77777777" w:rsidR="003E6880" w:rsidRDefault="003E6880"/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A018" w14:textId="77777777" w:rsidR="003E6880" w:rsidRDefault="003E6880"/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BA1" w14:textId="77777777" w:rsidR="003E6880" w:rsidRDefault="003E6880"/>
        </w:tc>
      </w:tr>
      <w:tr w:rsidR="003E6880" w14:paraId="4A38F1AB" w14:textId="77777777" w:rsidTr="001E285F"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14:paraId="79F1DB51" w14:textId="77777777" w:rsidR="001E285F" w:rsidRDefault="001E285F"/>
          <w:p w14:paraId="0062663B" w14:textId="1A8A1611" w:rsidR="003E6880" w:rsidRDefault="001E285F">
            <w:r>
              <w:t xml:space="preserve">Can the client report a </w:t>
            </w:r>
            <w:r w:rsidR="003E6880">
              <w:t xml:space="preserve">Net profit or Net loss? </w:t>
            </w:r>
          </w:p>
          <w:p w14:paraId="7132F048" w14:textId="77777777" w:rsidR="003E6880" w:rsidRDefault="003E6880"/>
        </w:tc>
      </w:tr>
    </w:tbl>
    <w:p w14:paraId="2DBC1B0D" w14:textId="0DF8574C" w:rsidR="003E6880" w:rsidRDefault="003E6880"/>
    <w:p w14:paraId="6E0DE2CD" w14:textId="3BF1B453" w:rsidR="001E285F" w:rsidRDefault="00A77B75">
      <w:r>
        <w:t>2</w:t>
      </w:r>
      <w:r w:rsidR="001E285F">
        <w:t>.2 What are the client’s sources of revenue</w:t>
      </w:r>
      <w:r w:rsidR="00F53B99">
        <w:t xml:space="preserve"> </w:t>
      </w:r>
      <w:r w:rsidR="00F53B99">
        <w:t>(use the Income statement analysis tab)</w:t>
      </w:r>
      <w:r w:rsidR="001E285F">
        <w:t>?</w:t>
      </w:r>
    </w:p>
    <w:p w14:paraId="3B6FC752" w14:textId="04D8D874" w:rsidR="001E285F" w:rsidRPr="001E285F" w:rsidRDefault="001E285F" w:rsidP="001E285F">
      <w:pPr>
        <w:jc w:val="center"/>
        <w:rPr>
          <w:i/>
          <w:iCs/>
        </w:rPr>
      </w:pPr>
      <w:r w:rsidRPr="001E285F">
        <w:rPr>
          <w:i/>
          <w:iCs/>
        </w:rPr>
        <w:t>[Replace me and paste screenshot here]</w:t>
      </w:r>
    </w:p>
    <w:p w14:paraId="21B7FBC6" w14:textId="77777777" w:rsidR="001E285F" w:rsidRDefault="001E285F"/>
    <w:p w14:paraId="5AD32A1C" w14:textId="02D45B99" w:rsidR="001E285F" w:rsidRDefault="00A77B75">
      <w:r>
        <w:t>2</w:t>
      </w:r>
      <w:r w:rsidR="001E285F">
        <w:t>.3 What year-over-year trends do you notice about the two largest sources of revenue (Hotel rents and dining services</w:t>
      </w:r>
      <w:r w:rsidR="008D232D">
        <w:t xml:space="preserve">, use </w:t>
      </w:r>
      <w:r w:rsidR="00F53B99">
        <w:t>Income statement analysis tab</w:t>
      </w:r>
      <w:r w:rsidR="001E285F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1E285F" w14:paraId="1D9654C7" w14:textId="77777777" w:rsidTr="001E285F">
        <w:trPr>
          <w:trHeight w:val="368"/>
        </w:trPr>
        <w:tc>
          <w:tcPr>
            <w:tcW w:w="2425" w:type="dxa"/>
          </w:tcPr>
          <w:p w14:paraId="743C3300" w14:textId="6F9255AE" w:rsidR="001E285F" w:rsidRDefault="001E285F">
            <w:r>
              <w:t>Hotel</w:t>
            </w:r>
          </w:p>
        </w:tc>
        <w:tc>
          <w:tcPr>
            <w:tcW w:w="6925" w:type="dxa"/>
          </w:tcPr>
          <w:p w14:paraId="447D7FA2" w14:textId="795A8CA5" w:rsidR="001E285F" w:rsidRDefault="00BC3207">
            <w:r>
              <w:t>Increased/Decreased</w:t>
            </w:r>
          </w:p>
        </w:tc>
      </w:tr>
      <w:tr w:rsidR="001E285F" w14:paraId="55D94449" w14:textId="77777777" w:rsidTr="001E285F">
        <w:tc>
          <w:tcPr>
            <w:tcW w:w="2425" w:type="dxa"/>
          </w:tcPr>
          <w:p w14:paraId="2B3F117D" w14:textId="2701677C" w:rsidR="001E285F" w:rsidRDefault="001E285F">
            <w:r>
              <w:t>Dining</w:t>
            </w:r>
          </w:p>
        </w:tc>
        <w:tc>
          <w:tcPr>
            <w:tcW w:w="6925" w:type="dxa"/>
          </w:tcPr>
          <w:p w14:paraId="2D8EAEEB" w14:textId="0E152A23" w:rsidR="001E285F" w:rsidRDefault="00BC3207">
            <w:r>
              <w:t>Increased/Decreased</w:t>
            </w:r>
          </w:p>
        </w:tc>
      </w:tr>
    </w:tbl>
    <w:p w14:paraId="26DF4ABE" w14:textId="77777777" w:rsidR="001E285F" w:rsidRDefault="001E285F"/>
    <w:p w14:paraId="39EFAB4D" w14:textId="2316808D" w:rsidR="007D6CEE" w:rsidRDefault="00A77B75">
      <w:r>
        <w:t>2</w:t>
      </w:r>
      <w:r w:rsidR="001E285F">
        <w:t xml:space="preserve">.4 </w:t>
      </w:r>
      <w:r w:rsidR="007D6CEE">
        <w:t>Analyze the client’s gross margins to answer the following</w:t>
      </w:r>
      <w:r w:rsidR="008D232D">
        <w:t xml:space="preserve"> (gross margin tab)</w:t>
      </w:r>
      <w:r w:rsidR="007D6CEE">
        <w:t xml:space="preserve">: </w:t>
      </w:r>
    </w:p>
    <w:p w14:paraId="14D0E408" w14:textId="77777777" w:rsidR="007250D6" w:rsidRDefault="007250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7250D6" w14:paraId="1A73FBEE" w14:textId="77777777" w:rsidTr="002C10E3">
        <w:tc>
          <w:tcPr>
            <w:tcW w:w="4675" w:type="dxa"/>
          </w:tcPr>
          <w:p w14:paraId="180C676B" w14:textId="335321E5" w:rsidR="007250D6" w:rsidRDefault="007250D6">
            <w:r w:rsidRPr="007250D6">
              <w:t>What is the average gross margin percentage for</w:t>
            </w:r>
            <w:r>
              <w:t>:</w:t>
            </w:r>
          </w:p>
        </w:tc>
        <w:tc>
          <w:tcPr>
            <w:tcW w:w="2337" w:type="dxa"/>
          </w:tcPr>
          <w:p w14:paraId="2946108E" w14:textId="69341446" w:rsidR="007250D6" w:rsidRDefault="003759A7">
            <w:r>
              <w:t>FY 15</w:t>
            </w:r>
          </w:p>
        </w:tc>
        <w:tc>
          <w:tcPr>
            <w:tcW w:w="2338" w:type="dxa"/>
          </w:tcPr>
          <w:p w14:paraId="2EE8222E" w14:textId="28CFDD81" w:rsidR="007250D6" w:rsidRDefault="003759A7">
            <w:r>
              <w:t>FY 16</w:t>
            </w:r>
          </w:p>
        </w:tc>
      </w:tr>
      <w:tr w:rsidR="003759A7" w14:paraId="54A9073E" w14:textId="77777777" w:rsidTr="002C10E3">
        <w:tc>
          <w:tcPr>
            <w:tcW w:w="4675" w:type="dxa"/>
          </w:tcPr>
          <w:p w14:paraId="6194A107" w14:textId="1B3FD8F8" w:rsidR="003759A7" w:rsidRPr="007250D6" w:rsidRDefault="003759A7">
            <w:r w:rsidRPr="007250D6">
              <w:t>Revenue – Sales-Dining</w:t>
            </w:r>
          </w:p>
        </w:tc>
        <w:tc>
          <w:tcPr>
            <w:tcW w:w="2337" w:type="dxa"/>
          </w:tcPr>
          <w:p w14:paraId="1DF26735" w14:textId="77777777" w:rsidR="003759A7" w:rsidRDefault="003759A7"/>
        </w:tc>
        <w:tc>
          <w:tcPr>
            <w:tcW w:w="2338" w:type="dxa"/>
          </w:tcPr>
          <w:p w14:paraId="776E11AD" w14:textId="77777777" w:rsidR="003759A7" w:rsidRDefault="003759A7"/>
        </w:tc>
      </w:tr>
      <w:tr w:rsidR="003759A7" w14:paraId="6EBD8A10" w14:textId="77777777" w:rsidTr="002C10E3">
        <w:tc>
          <w:tcPr>
            <w:tcW w:w="4675" w:type="dxa"/>
          </w:tcPr>
          <w:p w14:paraId="72244A24" w14:textId="617F3237" w:rsidR="003759A7" w:rsidRPr="007250D6" w:rsidRDefault="003759A7">
            <w:r>
              <w:t>Revenue – Sales - Hotel</w:t>
            </w:r>
          </w:p>
        </w:tc>
        <w:tc>
          <w:tcPr>
            <w:tcW w:w="2337" w:type="dxa"/>
          </w:tcPr>
          <w:p w14:paraId="753D3B24" w14:textId="77777777" w:rsidR="003759A7" w:rsidRDefault="003759A7"/>
        </w:tc>
        <w:tc>
          <w:tcPr>
            <w:tcW w:w="2338" w:type="dxa"/>
          </w:tcPr>
          <w:p w14:paraId="4912BBDB" w14:textId="77777777" w:rsidR="003759A7" w:rsidRDefault="003759A7"/>
        </w:tc>
      </w:tr>
    </w:tbl>
    <w:p w14:paraId="0FCA2795" w14:textId="3A8B8A3B" w:rsidR="001E285F" w:rsidRDefault="001E285F"/>
    <w:p w14:paraId="2BB548FB" w14:textId="77777777" w:rsidR="001E285F" w:rsidRDefault="001E285F"/>
    <w:p w14:paraId="69A6D3D1" w14:textId="290DBAEB" w:rsidR="001E285F" w:rsidRDefault="00A77B75">
      <w:r>
        <w:t>2</w:t>
      </w:r>
      <w:r w:rsidR="001E285F">
        <w:t>.</w:t>
      </w:r>
      <w:r w:rsidR="002E7FD8">
        <w:t>5</w:t>
      </w:r>
      <w:r w:rsidR="001E285F">
        <w:t xml:space="preserve"> Analy</w:t>
      </w:r>
      <w:r w:rsidR="004972BB">
        <w:t xml:space="preserve">ze the trends in the </w:t>
      </w:r>
      <w:r w:rsidR="001E285F">
        <w:t xml:space="preserve">client’s </w:t>
      </w:r>
      <w:r w:rsidR="004972BB">
        <w:t xml:space="preserve">gross </w:t>
      </w:r>
      <w:r w:rsidR="001E285F">
        <w:t>margins</w:t>
      </w:r>
      <w:r w:rsidR="00365707">
        <w:t xml:space="preserve"> (gross margin tab)</w:t>
      </w:r>
      <w:r w:rsidR="0023570C">
        <w:t>:</w:t>
      </w:r>
    </w:p>
    <w:p w14:paraId="6BAFADF7" w14:textId="77777777" w:rsidR="00CE5295" w:rsidRPr="001E285F" w:rsidRDefault="00CE5295" w:rsidP="00CE5295">
      <w:pPr>
        <w:jc w:val="center"/>
        <w:rPr>
          <w:i/>
          <w:iCs/>
        </w:rPr>
      </w:pPr>
      <w:r w:rsidRPr="001E285F">
        <w:rPr>
          <w:i/>
          <w:iCs/>
        </w:rPr>
        <w:t>[Replace me and paste screenshot here]</w:t>
      </w:r>
    </w:p>
    <w:p w14:paraId="1B9975A6" w14:textId="41F0A2E0" w:rsidR="0023570C" w:rsidRDefault="00A77B75">
      <w:r>
        <w:t>2</w:t>
      </w:r>
      <w:r w:rsidR="009671AB">
        <w:t>.</w:t>
      </w:r>
      <w:r w:rsidR="003A5835">
        <w:t>6 Which month has the greatest deviation in the gross margin for FY 16</w:t>
      </w:r>
      <w:r w:rsidR="00B452C6">
        <w:t xml:space="preserve"> </w:t>
      </w:r>
      <w:r w:rsidR="00B452C6">
        <w:t>(gross margin tab)</w:t>
      </w:r>
      <w:r w:rsidR="00B452C6">
        <w:t>?</w:t>
      </w:r>
      <w:r w:rsidR="003A5835">
        <w:t xml:space="preserve"> </w:t>
      </w:r>
    </w:p>
    <w:p w14:paraId="77741B0B" w14:textId="77777777" w:rsidR="009671AB" w:rsidRDefault="009671AB"/>
    <w:p w14:paraId="2F6C5251" w14:textId="77777777" w:rsidR="00B452C6" w:rsidRDefault="00B452C6"/>
    <w:p w14:paraId="3449A2DD" w14:textId="3D92FB38" w:rsidR="003E6880" w:rsidRDefault="00A77B75">
      <w:r>
        <w:t>2</w:t>
      </w:r>
      <w:r w:rsidR="00F841A4">
        <w:t>.</w:t>
      </w:r>
      <w:r>
        <w:t>7</w:t>
      </w:r>
      <w:r w:rsidR="00F841A4">
        <w:t xml:space="preserve"> </w:t>
      </w:r>
      <w:r w:rsidR="006956DF">
        <w:t xml:space="preserve">Using the monthly analysis tab, filter the figure to different accounts to identify where </w:t>
      </w:r>
      <w:r w:rsidR="00020FDA">
        <w:t xml:space="preserve">significant economic events have likely occurred by comparing the monthly amounts </w:t>
      </w:r>
      <w:r w:rsidR="006D3432">
        <w:t>for FY 15 and FY 16</w:t>
      </w:r>
      <w:r w:rsidR="001B2F48">
        <w:t xml:space="preserve"> (hint: the filter “Select one or more </w:t>
      </w:r>
      <w:r w:rsidR="00C4234B">
        <w:t>account classes:” allows you to look at individual accounts)</w:t>
      </w:r>
      <w:r w:rsidR="006D3432">
        <w:t>.</w:t>
      </w:r>
    </w:p>
    <w:p w14:paraId="735B2C52" w14:textId="66490D7B" w:rsidR="006D3432" w:rsidRPr="001E285F" w:rsidRDefault="006D3432" w:rsidP="006D3432">
      <w:pPr>
        <w:jc w:val="center"/>
        <w:rPr>
          <w:i/>
          <w:iCs/>
        </w:rPr>
      </w:pPr>
      <w:r>
        <w:t xml:space="preserve"> </w:t>
      </w:r>
      <w:r w:rsidRPr="001E285F">
        <w:rPr>
          <w:i/>
          <w:iCs/>
        </w:rPr>
        <w:t>[Replace me and paste screenshot here</w:t>
      </w:r>
      <w:r>
        <w:rPr>
          <w:i/>
          <w:iCs/>
        </w:rPr>
        <w:t xml:space="preserve"> for anything you find</w:t>
      </w:r>
      <w:r w:rsidR="009B14E8">
        <w:rPr>
          <w:i/>
          <w:iCs/>
        </w:rPr>
        <w:t xml:space="preserve"> then describe below the image</w:t>
      </w:r>
      <w:r w:rsidRPr="001E285F">
        <w:rPr>
          <w:i/>
          <w:iCs/>
        </w:rPr>
        <w:t>]</w:t>
      </w:r>
    </w:p>
    <w:p w14:paraId="1C13596A" w14:textId="77777777" w:rsidR="003F1BB4" w:rsidRDefault="003F1BB4"/>
    <w:p w14:paraId="2CAC7907" w14:textId="3692283E" w:rsidR="008E4CD4" w:rsidRDefault="009B14E8">
      <w:r>
        <w:t xml:space="preserve">2.8 Using the </w:t>
      </w:r>
      <w:r w:rsidR="001B1D80">
        <w:t xml:space="preserve">information in </w:t>
      </w:r>
      <w:r w:rsidR="009437A7">
        <w:t>P</w:t>
      </w:r>
      <w:r w:rsidR="001B1D80">
        <w:t xml:space="preserve">art 1 </w:t>
      </w:r>
      <w:r w:rsidR="009437A7">
        <w:t xml:space="preserve">to form your expectations about the data analyzed in </w:t>
      </w:r>
      <w:r w:rsidR="001B1D80">
        <w:t>Part 2</w:t>
      </w:r>
      <w:r w:rsidR="003F1BB4">
        <w:t xml:space="preserve">, </w:t>
      </w:r>
      <w:r w:rsidR="009437A7">
        <w:t>answer d</w:t>
      </w:r>
      <w:r w:rsidR="009437A7" w:rsidRPr="009437A7">
        <w:t>o your expectations align with the FY16 results you see</w:t>
      </w:r>
      <w:r w:rsidR="009437A7">
        <w:t xml:space="preserve"> in your analysis? Give </w:t>
      </w:r>
      <w:r w:rsidR="0089716F">
        <w:t xml:space="preserve">specific </w:t>
      </w:r>
      <w:r w:rsidR="009437A7">
        <w:t xml:space="preserve">examples </w:t>
      </w:r>
      <w:r w:rsidR="00523064">
        <w:t>by link</w:t>
      </w:r>
      <w:r w:rsidR="0089716F">
        <w:t>ing</w:t>
      </w:r>
      <w:r w:rsidR="00523064">
        <w:t xml:space="preserve"> </w:t>
      </w:r>
      <w:r w:rsidR="0089716F">
        <w:t xml:space="preserve">information in </w:t>
      </w:r>
      <w:r w:rsidR="00523064">
        <w:t xml:space="preserve">part 1 </w:t>
      </w:r>
      <w:r w:rsidR="0089716F">
        <w:t>to analysis in part 2.</w:t>
      </w:r>
    </w:p>
    <w:p w14:paraId="0A078B43" w14:textId="77777777" w:rsidR="00053327" w:rsidRDefault="00053327"/>
    <w:p w14:paraId="545CB6BB" w14:textId="77777777" w:rsidR="0089716F" w:rsidRDefault="0089716F"/>
    <w:p w14:paraId="05968BF7" w14:textId="77777777" w:rsidR="0089716F" w:rsidRDefault="0089716F">
      <w:pPr>
        <w:rPr>
          <w:i/>
          <w:iCs/>
        </w:rPr>
      </w:pPr>
      <w:r>
        <w:rPr>
          <w:i/>
          <w:iCs/>
        </w:rPr>
        <w:br w:type="page"/>
      </w:r>
    </w:p>
    <w:p w14:paraId="79050FB9" w14:textId="03DB0D36" w:rsidR="00053327" w:rsidRPr="006E6412" w:rsidRDefault="008D31E8">
      <w:pPr>
        <w:rPr>
          <w:i/>
          <w:iCs/>
        </w:rPr>
      </w:pPr>
      <w:r w:rsidRPr="006E6412">
        <w:rPr>
          <w:i/>
          <w:iCs/>
        </w:rPr>
        <w:lastRenderedPageBreak/>
        <w:t>Part 3: Analyzing Large Public Firm Disclosures</w:t>
      </w:r>
    </w:p>
    <w:p w14:paraId="16CE3A09" w14:textId="0321F2BE" w:rsidR="008D31E8" w:rsidRDefault="008D31E8">
      <w:r>
        <w:t>We can use large public firms as “Bell-weather” firms that typically lead trends in how information is provided to public markets</w:t>
      </w:r>
      <w:r w:rsidR="00271DBF">
        <w:t>, with smaller firms following these disclosure patterns over time</w:t>
      </w:r>
      <w:r>
        <w:t xml:space="preserve">. </w:t>
      </w:r>
      <w:r w:rsidR="00271DBF">
        <w:t>In addition to GAAP financial reports, l</w:t>
      </w:r>
      <w:r>
        <w:t xml:space="preserve">arge firms </w:t>
      </w:r>
      <w:r w:rsidR="00271DBF">
        <w:t xml:space="preserve">will often set a benchmark for the typical non-GAAP disclosures (i.e., the adjustments or exclusions typically used), the Key Performance Indicators (KPIs) / Non-Financial Performance Measures (NPMs) for the industry. </w:t>
      </w:r>
    </w:p>
    <w:p w14:paraId="282D66D7" w14:textId="3639C38D" w:rsidR="00271DBF" w:rsidRDefault="00271DBF">
      <w:r>
        <w:t xml:space="preserve">3.1 Investigate leading public company earnings reports and non-GAAP reconciliations to create a list of the </w:t>
      </w:r>
      <w:r w:rsidR="0048757D">
        <w:t>common disclosure practices of leading firms (not all firms will be the same, so use your judgement here). Give examples from specific firms.</w:t>
      </w:r>
    </w:p>
    <w:p w14:paraId="75DC6C9A" w14:textId="77777777" w:rsidR="006E6412" w:rsidRDefault="006E6412"/>
    <w:p w14:paraId="2AE73FA8" w14:textId="0DDAE9E7" w:rsidR="006E6412" w:rsidRDefault="006E6412">
      <w:r>
        <w:t>Part 4: Providing a Disclosure Advisory Service / Report</w:t>
      </w:r>
    </w:p>
    <w:p w14:paraId="01BACFBC" w14:textId="607676C1" w:rsidR="00B601F9" w:rsidRDefault="00127542">
      <w:r>
        <w:t xml:space="preserve">In Parts 1 &amp; 2, you analyzed the client’s transactions using an analysis of the general ledger and the </w:t>
      </w:r>
      <w:r w:rsidR="009A6AD3">
        <w:t xml:space="preserve">background facts the client gave us to understand their revenues and expenses. </w:t>
      </w:r>
      <w:r w:rsidR="0037036C">
        <w:t xml:space="preserve">Part 3 helped us identify </w:t>
      </w:r>
      <w:r w:rsidR="00597DA9">
        <w:t>the best current</w:t>
      </w:r>
      <w:r w:rsidR="0037036C">
        <w:t xml:space="preserve"> practices in disclosure. </w:t>
      </w:r>
      <w:r w:rsidR="004202A3">
        <w:t>In this section, you will combine your understanding of the firm performance and industry disclosure practices to provide advice to the client on what they should disclose.</w:t>
      </w:r>
    </w:p>
    <w:p w14:paraId="7F0B9B98" w14:textId="77777777" w:rsidR="00BF37EB" w:rsidRDefault="00B601F9">
      <w:pPr>
        <w:sectPr w:rsidR="00BF37E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Fill out the Table on the next page to prepare for a</w:t>
      </w:r>
      <w:r w:rsidR="0055706A">
        <w:t>dvis</w:t>
      </w:r>
      <w:r>
        <w:t>ing</w:t>
      </w:r>
      <w:r w:rsidR="0055706A">
        <w:t xml:space="preserve"> the client on what to report beyond net income</w:t>
      </w:r>
      <w:r>
        <w:t>.</w:t>
      </w:r>
      <w:r w:rsidR="0055706A">
        <w:t xml:space="preserve"> </w:t>
      </w:r>
      <w:r w:rsidR="0054395D">
        <w:t xml:space="preserve">For this case, net income </w:t>
      </w:r>
      <w:r w:rsidR="0054395D" w:rsidRPr="0054395D">
        <w:t xml:space="preserve">is </w:t>
      </w:r>
      <w:r w:rsidR="005019D8" w:rsidRPr="0054395D">
        <w:t>$</w:t>
      </w:r>
      <w:r w:rsidR="005019D8" w:rsidRPr="0054395D">
        <w:t>2,461,035</w:t>
      </w:r>
      <w:r w:rsidR="0054395D" w:rsidRPr="0054395D">
        <w:t xml:space="preserve"> for FY 16</w:t>
      </w:r>
      <w:r w:rsidR="005019D8" w:rsidRPr="0054395D">
        <w:t xml:space="preserve">. Further assume that the firm has shares outstanding of </w:t>
      </w:r>
      <w:r w:rsidR="00CB25E5" w:rsidRPr="0054395D">
        <w:t xml:space="preserve">20,000,000 </w:t>
      </w:r>
      <w:r w:rsidR="00A07ED9" w:rsidRPr="0054395D">
        <w:t>(ignore dilution</w:t>
      </w:r>
      <w:r w:rsidR="006C17E7" w:rsidRPr="0054395D">
        <w:t>, same</w:t>
      </w:r>
      <w:r w:rsidR="00CF18B4" w:rsidRPr="0054395D">
        <w:t xml:space="preserve"> for both FY 16 and FY 15</w:t>
      </w:r>
      <w:r w:rsidR="00A07ED9" w:rsidRPr="0054395D">
        <w:t xml:space="preserve">) so that GAAP EPS is </w:t>
      </w:r>
      <w:r w:rsidR="006C17E7" w:rsidRPr="0054395D">
        <w:t xml:space="preserve">0.12 in FY 16. </w:t>
      </w:r>
      <w:r w:rsidR="0067387D">
        <w:t>For each recommended metric,</w:t>
      </w:r>
      <w:r w:rsidR="0080778A">
        <w:t xml:space="preserve"> </w:t>
      </w:r>
      <w:r w:rsidR="0067387D">
        <w:t>d</w:t>
      </w:r>
      <w:r w:rsidR="0080778A">
        <w:t>escribe the name of the metric, how it can be measured, and if you can calculate it, add the calculated amounts for each year FY 15 &amp; FY 16 (</w:t>
      </w:r>
      <w:r w:rsidR="00626925">
        <w:t xml:space="preserve">note </w:t>
      </w:r>
      <w:r w:rsidR="0080778A">
        <w:t xml:space="preserve">it may not be possible to calculate all metrics </w:t>
      </w:r>
      <w:r w:rsidR="00626925">
        <w:t>from the data in the general ledger and background case material</w:t>
      </w:r>
      <w:r w:rsidR="003938E1">
        <w:t xml:space="preserve">, </w:t>
      </w:r>
      <w:r>
        <w:t>explain which data is missing if you can’t find something</w:t>
      </w:r>
      <w:r w:rsidR="0080778A"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5180"/>
        <w:gridCol w:w="2590"/>
        <w:gridCol w:w="2590"/>
      </w:tblGrid>
      <w:tr w:rsidR="00FF37AC" w14:paraId="68E65CA0" w14:textId="77777777" w:rsidTr="00DD39CD">
        <w:tc>
          <w:tcPr>
            <w:tcW w:w="12950" w:type="dxa"/>
            <w:gridSpan w:val="4"/>
          </w:tcPr>
          <w:p w14:paraId="3F924178" w14:textId="654556CE" w:rsidR="00FF37AC" w:rsidRPr="00DD39CD" w:rsidRDefault="00FF37AC" w:rsidP="00DD39CD">
            <w:pPr>
              <w:jc w:val="center"/>
              <w:rPr>
                <w:b/>
                <w:bCs/>
                <w:sz w:val="26"/>
                <w:szCs w:val="26"/>
              </w:rPr>
            </w:pPr>
            <w:r w:rsidRPr="00DD39CD">
              <w:rPr>
                <w:b/>
                <w:bCs/>
                <w:sz w:val="26"/>
                <w:szCs w:val="26"/>
              </w:rPr>
              <w:lastRenderedPageBreak/>
              <w:t xml:space="preserve">Proposed Metrics for PSU’s </w:t>
            </w:r>
            <w:r w:rsidR="00DD39CD" w:rsidRPr="00DD39CD">
              <w:rPr>
                <w:b/>
                <w:bCs/>
                <w:sz w:val="26"/>
                <w:szCs w:val="26"/>
              </w:rPr>
              <w:t xml:space="preserve">extended </w:t>
            </w:r>
            <w:r w:rsidRPr="00DD39CD">
              <w:rPr>
                <w:b/>
                <w:bCs/>
                <w:sz w:val="26"/>
                <w:szCs w:val="26"/>
              </w:rPr>
              <w:t>disclosures</w:t>
            </w:r>
            <w:r w:rsidR="00DD39CD" w:rsidRPr="00DD39CD">
              <w:rPr>
                <w:b/>
                <w:bCs/>
                <w:sz w:val="26"/>
                <w:szCs w:val="26"/>
              </w:rPr>
              <w:t xml:space="preserve"> beyond Net Income and EPS</w:t>
            </w:r>
          </w:p>
        </w:tc>
      </w:tr>
      <w:tr w:rsidR="007A18EB" w14:paraId="2662F824" w14:textId="77777777" w:rsidTr="004F7028">
        <w:tc>
          <w:tcPr>
            <w:tcW w:w="2590" w:type="dxa"/>
          </w:tcPr>
          <w:p w14:paraId="687C63A1" w14:textId="23C07AC5" w:rsidR="007A18EB" w:rsidRDefault="007A18EB">
            <w:r>
              <w:t>Name</w:t>
            </w:r>
          </w:p>
        </w:tc>
        <w:tc>
          <w:tcPr>
            <w:tcW w:w="5180" w:type="dxa"/>
          </w:tcPr>
          <w:p w14:paraId="31D204C4" w14:textId="4928D9FC" w:rsidR="007A18EB" w:rsidRDefault="007A18EB">
            <w:r>
              <w:t>Purpose</w:t>
            </w:r>
          </w:p>
        </w:tc>
        <w:tc>
          <w:tcPr>
            <w:tcW w:w="5180" w:type="dxa"/>
            <w:gridSpan w:val="2"/>
          </w:tcPr>
          <w:p w14:paraId="60F15BFE" w14:textId="170B6472" w:rsidR="007A18EB" w:rsidRDefault="007A18EB">
            <w:r>
              <w:t>Calculation</w:t>
            </w:r>
          </w:p>
        </w:tc>
      </w:tr>
      <w:tr w:rsidR="007A18EB" w14:paraId="1DEDE9D0" w14:textId="77777777" w:rsidTr="002814D5">
        <w:tc>
          <w:tcPr>
            <w:tcW w:w="2590" w:type="dxa"/>
            <w:vMerge w:val="restart"/>
          </w:tcPr>
          <w:p w14:paraId="3DD640E4" w14:textId="77777777" w:rsidR="007A18EB" w:rsidRDefault="007A18EB"/>
        </w:tc>
        <w:tc>
          <w:tcPr>
            <w:tcW w:w="5180" w:type="dxa"/>
            <w:vMerge w:val="restart"/>
          </w:tcPr>
          <w:p w14:paraId="6CC1AE87" w14:textId="77777777" w:rsidR="007A18EB" w:rsidRDefault="007A18EB"/>
        </w:tc>
        <w:tc>
          <w:tcPr>
            <w:tcW w:w="5180" w:type="dxa"/>
            <w:gridSpan w:val="2"/>
          </w:tcPr>
          <w:p w14:paraId="17727B39" w14:textId="77777777" w:rsidR="007A18EB" w:rsidRDefault="007A18EB"/>
        </w:tc>
      </w:tr>
      <w:tr w:rsidR="007A18EB" w14:paraId="61D104C6" w14:textId="77777777" w:rsidTr="008519EB">
        <w:tc>
          <w:tcPr>
            <w:tcW w:w="2590" w:type="dxa"/>
            <w:vMerge/>
          </w:tcPr>
          <w:p w14:paraId="4B2F9B91" w14:textId="77777777" w:rsidR="007A18EB" w:rsidRDefault="007A18EB"/>
        </w:tc>
        <w:tc>
          <w:tcPr>
            <w:tcW w:w="5180" w:type="dxa"/>
            <w:vMerge/>
          </w:tcPr>
          <w:p w14:paraId="6A727C64" w14:textId="77777777" w:rsidR="007A18EB" w:rsidRDefault="007A18EB"/>
        </w:tc>
        <w:tc>
          <w:tcPr>
            <w:tcW w:w="2590" w:type="dxa"/>
          </w:tcPr>
          <w:p w14:paraId="451AFF8A" w14:textId="1009566B" w:rsidR="007A18EB" w:rsidRDefault="007A18EB">
            <w:r>
              <w:t xml:space="preserve">FY 15: </w:t>
            </w:r>
          </w:p>
        </w:tc>
        <w:tc>
          <w:tcPr>
            <w:tcW w:w="2590" w:type="dxa"/>
          </w:tcPr>
          <w:p w14:paraId="37CA2A99" w14:textId="6830ACA9" w:rsidR="007A18EB" w:rsidRDefault="007A18EB">
            <w:r>
              <w:t xml:space="preserve">FY 16: </w:t>
            </w:r>
          </w:p>
        </w:tc>
      </w:tr>
      <w:tr w:rsidR="00B00A9B" w14:paraId="5F1FCAEF" w14:textId="77777777" w:rsidTr="00B35A59">
        <w:tc>
          <w:tcPr>
            <w:tcW w:w="2590" w:type="dxa"/>
            <w:vMerge w:val="restart"/>
          </w:tcPr>
          <w:p w14:paraId="22CB4D76" w14:textId="77777777" w:rsidR="00B00A9B" w:rsidRDefault="00B00A9B" w:rsidP="00B35A59"/>
        </w:tc>
        <w:tc>
          <w:tcPr>
            <w:tcW w:w="5180" w:type="dxa"/>
            <w:vMerge w:val="restart"/>
          </w:tcPr>
          <w:p w14:paraId="6C6759FE" w14:textId="77777777" w:rsidR="00B00A9B" w:rsidRDefault="00B00A9B" w:rsidP="00B35A59"/>
        </w:tc>
        <w:tc>
          <w:tcPr>
            <w:tcW w:w="5180" w:type="dxa"/>
            <w:gridSpan w:val="2"/>
          </w:tcPr>
          <w:p w14:paraId="53F452F8" w14:textId="77777777" w:rsidR="00B00A9B" w:rsidRDefault="00B00A9B" w:rsidP="00B35A59"/>
        </w:tc>
      </w:tr>
      <w:tr w:rsidR="00B00A9B" w14:paraId="2080AB16" w14:textId="77777777" w:rsidTr="00B35A59">
        <w:tc>
          <w:tcPr>
            <w:tcW w:w="2590" w:type="dxa"/>
            <w:vMerge/>
          </w:tcPr>
          <w:p w14:paraId="61B920AB" w14:textId="77777777" w:rsidR="00B00A9B" w:rsidRDefault="00B00A9B" w:rsidP="00B35A59"/>
        </w:tc>
        <w:tc>
          <w:tcPr>
            <w:tcW w:w="5180" w:type="dxa"/>
            <w:vMerge/>
          </w:tcPr>
          <w:p w14:paraId="162724E7" w14:textId="77777777" w:rsidR="00B00A9B" w:rsidRDefault="00B00A9B" w:rsidP="00B35A59"/>
        </w:tc>
        <w:tc>
          <w:tcPr>
            <w:tcW w:w="2590" w:type="dxa"/>
          </w:tcPr>
          <w:p w14:paraId="76BF7128" w14:textId="77777777" w:rsidR="00B00A9B" w:rsidRDefault="00B00A9B" w:rsidP="00B35A59">
            <w:r>
              <w:t xml:space="preserve">FY 15: </w:t>
            </w:r>
          </w:p>
        </w:tc>
        <w:tc>
          <w:tcPr>
            <w:tcW w:w="2590" w:type="dxa"/>
          </w:tcPr>
          <w:p w14:paraId="2964F110" w14:textId="77777777" w:rsidR="00B00A9B" w:rsidRDefault="00B00A9B" w:rsidP="00B35A59">
            <w:r>
              <w:t xml:space="preserve">FY 16: </w:t>
            </w:r>
          </w:p>
        </w:tc>
      </w:tr>
      <w:tr w:rsidR="00B00A9B" w14:paraId="72B9C5BA" w14:textId="77777777" w:rsidTr="00B35A59">
        <w:tc>
          <w:tcPr>
            <w:tcW w:w="2590" w:type="dxa"/>
            <w:vMerge w:val="restart"/>
          </w:tcPr>
          <w:p w14:paraId="03302E48" w14:textId="77777777" w:rsidR="00B00A9B" w:rsidRDefault="00B00A9B" w:rsidP="00B35A59"/>
        </w:tc>
        <w:tc>
          <w:tcPr>
            <w:tcW w:w="5180" w:type="dxa"/>
            <w:vMerge w:val="restart"/>
          </w:tcPr>
          <w:p w14:paraId="6A6C37FA" w14:textId="77777777" w:rsidR="00B00A9B" w:rsidRDefault="00B00A9B" w:rsidP="00B35A59"/>
        </w:tc>
        <w:tc>
          <w:tcPr>
            <w:tcW w:w="5180" w:type="dxa"/>
            <w:gridSpan w:val="2"/>
          </w:tcPr>
          <w:p w14:paraId="54AC5806" w14:textId="77777777" w:rsidR="00B00A9B" w:rsidRDefault="00B00A9B" w:rsidP="00B35A59"/>
        </w:tc>
      </w:tr>
      <w:tr w:rsidR="00B00A9B" w14:paraId="133B21CB" w14:textId="77777777" w:rsidTr="00B35A59">
        <w:tc>
          <w:tcPr>
            <w:tcW w:w="2590" w:type="dxa"/>
            <w:vMerge/>
          </w:tcPr>
          <w:p w14:paraId="5BE371D2" w14:textId="77777777" w:rsidR="00B00A9B" w:rsidRDefault="00B00A9B" w:rsidP="00B35A59"/>
        </w:tc>
        <w:tc>
          <w:tcPr>
            <w:tcW w:w="5180" w:type="dxa"/>
            <w:vMerge/>
          </w:tcPr>
          <w:p w14:paraId="3F926BDE" w14:textId="77777777" w:rsidR="00B00A9B" w:rsidRDefault="00B00A9B" w:rsidP="00B35A59"/>
        </w:tc>
        <w:tc>
          <w:tcPr>
            <w:tcW w:w="2590" w:type="dxa"/>
          </w:tcPr>
          <w:p w14:paraId="6F40F0AC" w14:textId="77777777" w:rsidR="00B00A9B" w:rsidRDefault="00B00A9B" w:rsidP="00B35A59">
            <w:r>
              <w:t xml:space="preserve">FY 15: </w:t>
            </w:r>
          </w:p>
        </w:tc>
        <w:tc>
          <w:tcPr>
            <w:tcW w:w="2590" w:type="dxa"/>
          </w:tcPr>
          <w:p w14:paraId="295DEC33" w14:textId="77777777" w:rsidR="00B00A9B" w:rsidRDefault="00B00A9B" w:rsidP="00B35A59">
            <w:r>
              <w:t xml:space="preserve">FY 16: </w:t>
            </w:r>
          </w:p>
        </w:tc>
      </w:tr>
      <w:tr w:rsidR="00B00A9B" w14:paraId="74D6D668" w14:textId="77777777" w:rsidTr="00B35A59">
        <w:tc>
          <w:tcPr>
            <w:tcW w:w="2590" w:type="dxa"/>
            <w:vMerge w:val="restart"/>
          </w:tcPr>
          <w:p w14:paraId="5E8C243D" w14:textId="77777777" w:rsidR="00B00A9B" w:rsidRDefault="00B00A9B" w:rsidP="00B35A59"/>
        </w:tc>
        <w:tc>
          <w:tcPr>
            <w:tcW w:w="5180" w:type="dxa"/>
            <w:vMerge w:val="restart"/>
          </w:tcPr>
          <w:p w14:paraId="41571A8B" w14:textId="77777777" w:rsidR="00B00A9B" w:rsidRDefault="00B00A9B" w:rsidP="00B35A59"/>
        </w:tc>
        <w:tc>
          <w:tcPr>
            <w:tcW w:w="5180" w:type="dxa"/>
            <w:gridSpan w:val="2"/>
          </w:tcPr>
          <w:p w14:paraId="45A20CEE" w14:textId="77777777" w:rsidR="00B00A9B" w:rsidRDefault="00B00A9B" w:rsidP="00B35A59"/>
        </w:tc>
      </w:tr>
      <w:tr w:rsidR="00B00A9B" w14:paraId="767CB2EF" w14:textId="77777777" w:rsidTr="00B35A59">
        <w:tc>
          <w:tcPr>
            <w:tcW w:w="2590" w:type="dxa"/>
            <w:vMerge/>
          </w:tcPr>
          <w:p w14:paraId="70EC4CB6" w14:textId="77777777" w:rsidR="00B00A9B" w:rsidRDefault="00B00A9B" w:rsidP="00B35A59"/>
        </w:tc>
        <w:tc>
          <w:tcPr>
            <w:tcW w:w="5180" w:type="dxa"/>
            <w:vMerge/>
          </w:tcPr>
          <w:p w14:paraId="3447E8EA" w14:textId="77777777" w:rsidR="00B00A9B" w:rsidRDefault="00B00A9B" w:rsidP="00B35A59"/>
        </w:tc>
        <w:tc>
          <w:tcPr>
            <w:tcW w:w="2590" w:type="dxa"/>
          </w:tcPr>
          <w:p w14:paraId="45BF2A28" w14:textId="77777777" w:rsidR="00B00A9B" w:rsidRDefault="00B00A9B" w:rsidP="00B35A59">
            <w:r>
              <w:t xml:space="preserve">FY 15: </w:t>
            </w:r>
          </w:p>
        </w:tc>
        <w:tc>
          <w:tcPr>
            <w:tcW w:w="2590" w:type="dxa"/>
          </w:tcPr>
          <w:p w14:paraId="51C10F81" w14:textId="77777777" w:rsidR="00B00A9B" w:rsidRDefault="00B00A9B" w:rsidP="00B35A59">
            <w:r>
              <w:t xml:space="preserve">FY 16: </w:t>
            </w:r>
          </w:p>
        </w:tc>
      </w:tr>
      <w:tr w:rsidR="00B00A9B" w14:paraId="66253D85" w14:textId="77777777" w:rsidTr="00B35A59">
        <w:tc>
          <w:tcPr>
            <w:tcW w:w="2590" w:type="dxa"/>
            <w:vMerge w:val="restart"/>
          </w:tcPr>
          <w:p w14:paraId="28E96A52" w14:textId="77777777" w:rsidR="00B00A9B" w:rsidRDefault="00B00A9B" w:rsidP="00B35A59"/>
        </w:tc>
        <w:tc>
          <w:tcPr>
            <w:tcW w:w="5180" w:type="dxa"/>
            <w:vMerge w:val="restart"/>
          </w:tcPr>
          <w:p w14:paraId="1DA08A0F" w14:textId="77777777" w:rsidR="00B00A9B" w:rsidRDefault="00B00A9B" w:rsidP="00B35A59"/>
        </w:tc>
        <w:tc>
          <w:tcPr>
            <w:tcW w:w="5180" w:type="dxa"/>
            <w:gridSpan w:val="2"/>
          </w:tcPr>
          <w:p w14:paraId="32DD12C1" w14:textId="77777777" w:rsidR="00B00A9B" w:rsidRDefault="00B00A9B" w:rsidP="00B35A59"/>
        </w:tc>
      </w:tr>
      <w:tr w:rsidR="00B00A9B" w14:paraId="0E31DEEA" w14:textId="77777777" w:rsidTr="00B35A59">
        <w:tc>
          <w:tcPr>
            <w:tcW w:w="2590" w:type="dxa"/>
            <w:vMerge/>
          </w:tcPr>
          <w:p w14:paraId="3DB5F521" w14:textId="77777777" w:rsidR="00B00A9B" w:rsidRDefault="00B00A9B" w:rsidP="00B35A59"/>
        </w:tc>
        <w:tc>
          <w:tcPr>
            <w:tcW w:w="5180" w:type="dxa"/>
            <w:vMerge/>
          </w:tcPr>
          <w:p w14:paraId="0889B65A" w14:textId="77777777" w:rsidR="00B00A9B" w:rsidRDefault="00B00A9B" w:rsidP="00B35A59"/>
        </w:tc>
        <w:tc>
          <w:tcPr>
            <w:tcW w:w="2590" w:type="dxa"/>
          </w:tcPr>
          <w:p w14:paraId="2625597D" w14:textId="77777777" w:rsidR="00B00A9B" w:rsidRDefault="00B00A9B" w:rsidP="00B35A59">
            <w:r>
              <w:t xml:space="preserve">FY 15: </w:t>
            </w:r>
          </w:p>
        </w:tc>
        <w:tc>
          <w:tcPr>
            <w:tcW w:w="2590" w:type="dxa"/>
          </w:tcPr>
          <w:p w14:paraId="01E6CC22" w14:textId="77777777" w:rsidR="00B00A9B" w:rsidRDefault="00B00A9B" w:rsidP="00B35A59">
            <w:r>
              <w:t xml:space="preserve">FY 16: </w:t>
            </w:r>
          </w:p>
        </w:tc>
      </w:tr>
    </w:tbl>
    <w:p w14:paraId="57BF6C49" w14:textId="5419D082" w:rsidR="006E6412" w:rsidRDefault="00B00A9B">
      <w:r>
        <w:t>*Note the template is for 5 metrics, you can do more or less than this number.</w:t>
      </w:r>
    </w:p>
    <w:sectPr w:rsidR="006E6412" w:rsidSect="00BF37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36277"/>
    <w:multiLevelType w:val="hybridMultilevel"/>
    <w:tmpl w:val="01C4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1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80"/>
    <w:rsid w:val="00020FDA"/>
    <w:rsid w:val="0002643C"/>
    <w:rsid w:val="00053327"/>
    <w:rsid w:val="000D5251"/>
    <w:rsid w:val="00127542"/>
    <w:rsid w:val="001B1D80"/>
    <w:rsid w:val="001B2F48"/>
    <w:rsid w:val="001E285F"/>
    <w:rsid w:val="0023570C"/>
    <w:rsid w:val="00271DBF"/>
    <w:rsid w:val="002D4ED7"/>
    <w:rsid w:val="002E7FD8"/>
    <w:rsid w:val="002F3AB7"/>
    <w:rsid w:val="00365707"/>
    <w:rsid w:val="0037036C"/>
    <w:rsid w:val="003759A7"/>
    <w:rsid w:val="003938E1"/>
    <w:rsid w:val="003A5835"/>
    <w:rsid w:val="003E6880"/>
    <w:rsid w:val="003F1BB4"/>
    <w:rsid w:val="004202A3"/>
    <w:rsid w:val="00455FBB"/>
    <w:rsid w:val="0048757D"/>
    <w:rsid w:val="004972BB"/>
    <w:rsid w:val="004C6F96"/>
    <w:rsid w:val="005019D8"/>
    <w:rsid w:val="00523064"/>
    <w:rsid w:val="0053455F"/>
    <w:rsid w:val="0054395D"/>
    <w:rsid w:val="0055706A"/>
    <w:rsid w:val="00573827"/>
    <w:rsid w:val="00597DA9"/>
    <w:rsid w:val="00626925"/>
    <w:rsid w:val="0067387D"/>
    <w:rsid w:val="006956DF"/>
    <w:rsid w:val="006C17E7"/>
    <w:rsid w:val="006D3432"/>
    <w:rsid w:val="006E6412"/>
    <w:rsid w:val="007250D6"/>
    <w:rsid w:val="007A18EB"/>
    <w:rsid w:val="007D6CEE"/>
    <w:rsid w:val="0080778A"/>
    <w:rsid w:val="0089716F"/>
    <w:rsid w:val="008D232D"/>
    <w:rsid w:val="008D31E8"/>
    <w:rsid w:val="008E4CD4"/>
    <w:rsid w:val="009437A7"/>
    <w:rsid w:val="009671AB"/>
    <w:rsid w:val="009A6AD3"/>
    <w:rsid w:val="009B14E8"/>
    <w:rsid w:val="00A07ED9"/>
    <w:rsid w:val="00A2533F"/>
    <w:rsid w:val="00A77B75"/>
    <w:rsid w:val="00AD4408"/>
    <w:rsid w:val="00B00A9B"/>
    <w:rsid w:val="00B452C6"/>
    <w:rsid w:val="00B601F9"/>
    <w:rsid w:val="00BC3207"/>
    <w:rsid w:val="00BD0A42"/>
    <w:rsid w:val="00BF37EB"/>
    <w:rsid w:val="00C4234B"/>
    <w:rsid w:val="00CB25E5"/>
    <w:rsid w:val="00CB5600"/>
    <w:rsid w:val="00CC3451"/>
    <w:rsid w:val="00CC6D04"/>
    <w:rsid w:val="00CE5295"/>
    <w:rsid w:val="00CF18B4"/>
    <w:rsid w:val="00CF3BB5"/>
    <w:rsid w:val="00DD39CD"/>
    <w:rsid w:val="00F53B99"/>
    <w:rsid w:val="00F841A4"/>
    <w:rsid w:val="00FB408E"/>
    <w:rsid w:val="00FB505D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9431"/>
  <w15:chartTrackingRefBased/>
  <w15:docId w15:val="{0E8FBF92-C4C4-4A13-A418-15EF231F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295"/>
  </w:style>
  <w:style w:type="paragraph" w:styleId="Heading1">
    <w:name w:val="heading 1"/>
    <w:basedOn w:val="Normal"/>
    <w:next w:val="Normal"/>
    <w:link w:val="Heading1Char"/>
    <w:uiPriority w:val="9"/>
    <w:qFormat/>
    <w:rsid w:val="003E6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8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Curtis</dc:creator>
  <cp:keywords/>
  <dc:description/>
  <cp:lastModifiedBy>Asher Curtis</cp:lastModifiedBy>
  <cp:revision>72</cp:revision>
  <dcterms:created xsi:type="dcterms:W3CDTF">2026-04-07T17:38:00Z</dcterms:created>
  <dcterms:modified xsi:type="dcterms:W3CDTF">2026-04-07T19:02:00Z</dcterms:modified>
</cp:coreProperties>
</file>